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2B0C" w14:textId="77777777" w:rsidR="000578AF" w:rsidRDefault="000578AF" w:rsidP="007C1E3A">
      <w:pPr>
        <w:spacing w:after="0"/>
        <w:rPr>
          <w:sz w:val="22"/>
        </w:rPr>
      </w:pPr>
    </w:p>
    <w:p w14:paraId="2ACB4234" w14:textId="77777777" w:rsidR="007C1E3A" w:rsidRDefault="007C1E3A" w:rsidP="007C1E3A">
      <w:pPr>
        <w:spacing w:after="0"/>
        <w:rPr>
          <w:sz w:val="22"/>
        </w:rPr>
      </w:pPr>
    </w:p>
    <w:p w14:paraId="52B78C5F" w14:textId="77777777" w:rsidR="007C1E3A" w:rsidRDefault="007C1E3A" w:rsidP="007C1E3A">
      <w:pPr>
        <w:spacing w:after="0"/>
        <w:rPr>
          <w:sz w:val="22"/>
        </w:rPr>
      </w:pPr>
    </w:p>
    <w:p w14:paraId="6690FD4A" w14:textId="77777777" w:rsidR="007C1E3A" w:rsidRDefault="007C1E3A" w:rsidP="007C1E3A">
      <w:pPr>
        <w:spacing w:after="0"/>
        <w:rPr>
          <w:sz w:val="22"/>
        </w:rPr>
      </w:pPr>
    </w:p>
    <w:p w14:paraId="6351E57C" w14:textId="77777777" w:rsidR="007C1E3A" w:rsidRDefault="007C1E3A" w:rsidP="007C1E3A">
      <w:pPr>
        <w:spacing w:after="0"/>
        <w:rPr>
          <w:sz w:val="22"/>
        </w:rPr>
      </w:pPr>
    </w:p>
    <w:p w14:paraId="57DDAB93" w14:textId="77777777" w:rsidR="007C1E3A" w:rsidRDefault="007C1E3A" w:rsidP="007C1E3A">
      <w:pPr>
        <w:spacing w:after="0"/>
        <w:rPr>
          <w:sz w:val="22"/>
        </w:rPr>
      </w:pPr>
    </w:p>
    <w:p w14:paraId="6E0C04F6" w14:textId="77777777" w:rsidR="007C1E3A" w:rsidRDefault="007C1E3A" w:rsidP="007C1E3A">
      <w:pPr>
        <w:spacing w:after="0"/>
        <w:rPr>
          <w:sz w:val="22"/>
        </w:rPr>
      </w:pPr>
    </w:p>
    <w:p w14:paraId="5E27340C" w14:textId="77777777" w:rsidR="007C1E3A" w:rsidRDefault="007C1E3A" w:rsidP="007C1E3A">
      <w:pPr>
        <w:spacing w:after="0"/>
        <w:rPr>
          <w:sz w:val="22"/>
        </w:rPr>
      </w:pPr>
    </w:p>
    <w:p w14:paraId="210492BE" w14:textId="77777777" w:rsidR="007C1E3A" w:rsidRDefault="007C1E3A" w:rsidP="007C1E3A">
      <w:pPr>
        <w:spacing w:after="0"/>
        <w:rPr>
          <w:sz w:val="22"/>
        </w:rPr>
      </w:pPr>
    </w:p>
    <w:p w14:paraId="477E4975" w14:textId="77777777" w:rsidR="007C1E3A" w:rsidRDefault="007C1E3A" w:rsidP="007C1E3A">
      <w:pPr>
        <w:spacing w:after="0"/>
        <w:rPr>
          <w:sz w:val="22"/>
        </w:rPr>
      </w:pPr>
    </w:p>
    <w:p w14:paraId="52D4DD74" w14:textId="77777777" w:rsidR="007C1E3A" w:rsidRPr="007C1E3A" w:rsidRDefault="007C1E3A" w:rsidP="007C1E3A">
      <w:pPr>
        <w:autoSpaceDE/>
        <w:autoSpaceDN/>
        <w:spacing w:before="120" w:after="0"/>
        <w:jc w:val="center"/>
        <w:outlineLvl w:val="0"/>
        <w:rPr>
          <w:rFonts w:ascii="Arial Black" w:hAnsi="Arial Black" w:cs="Times New Roman"/>
          <w:b/>
          <w:spacing w:val="100"/>
          <w:kern w:val="0"/>
          <w:sz w:val="56"/>
          <w:szCs w:val="56"/>
        </w:rPr>
      </w:pPr>
    </w:p>
    <w:p w14:paraId="4B407DB6" w14:textId="77777777" w:rsidR="007C1E3A" w:rsidRP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</w:pPr>
      <w:bookmarkStart w:id="0" w:name="_Toc55032666"/>
      <w:bookmarkStart w:id="1" w:name="_Toc55032726"/>
      <w:bookmarkStart w:id="2" w:name="_Toc55717478"/>
      <w:bookmarkStart w:id="3" w:name="_Toc56425799"/>
      <w:bookmarkStart w:id="4" w:name="_Toc57445909"/>
      <w:bookmarkStart w:id="5" w:name="_Toc59257627"/>
      <w:bookmarkStart w:id="6" w:name="_Toc60918603"/>
      <w:bookmarkStart w:id="7" w:name="_Toc61970388"/>
      <w:bookmarkStart w:id="8" w:name="_Toc69197"/>
      <w:bookmarkStart w:id="9" w:name="_Toc189546"/>
      <w:bookmarkStart w:id="10" w:name="_Toc29100916"/>
      <w:bookmarkStart w:id="11" w:name="_Toc30594746"/>
      <w:bookmarkStart w:id="12" w:name="_Toc30594884"/>
      <w:bookmarkStart w:id="13" w:name="_Toc30922141"/>
      <w:bookmarkStart w:id="14" w:name="_Toc30947795"/>
      <w:bookmarkStart w:id="15" w:name="_Toc31036361"/>
      <w:bookmarkStart w:id="16" w:name="_Toc31120302"/>
      <w:bookmarkStart w:id="17" w:name="_Toc32004597"/>
      <w:bookmarkStart w:id="18" w:name="_Toc32149317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Pravidla rozpočtu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238F67" w14:textId="77777777" w:rsidR="007C1E3A" w:rsidRP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</w:pPr>
      <w:bookmarkStart w:id="19" w:name="_Toc55032667"/>
      <w:bookmarkStart w:id="20" w:name="_Toc55032727"/>
      <w:bookmarkStart w:id="21" w:name="_Toc55717479"/>
      <w:bookmarkStart w:id="22" w:name="_Toc56425800"/>
      <w:bookmarkStart w:id="23" w:name="_Toc57445910"/>
      <w:bookmarkStart w:id="24" w:name="_Toc59257628"/>
      <w:bookmarkStart w:id="25" w:name="_Toc60918604"/>
      <w:bookmarkStart w:id="26" w:name="_Toc61970389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UTB ve Zlíně</w:t>
      </w:r>
      <w:bookmarkStart w:id="27" w:name="_Toc43866340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 xml:space="preserve">  </w:t>
      </w:r>
    </w:p>
    <w:p w14:paraId="6341258D" w14:textId="77777777" w:rsidR="007C1E3A" w:rsidRP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</w:pPr>
      <w:bookmarkStart w:id="28" w:name="_Toc55032668"/>
      <w:bookmarkStart w:id="29" w:name="_Toc55032728"/>
      <w:bookmarkStart w:id="30" w:name="_Toc55717480"/>
      <w:bookmarkStart w:id="31" w:name="_Toc56425801"/>
      <w:bookmarkStart w:id="32" w:name="_Toc57445911"/>
      <w:bookmarkStart w:id="33" w:name="_Toc59257629"/>
      <w:bookmarkStart w:id="34" w:name="_Toc60918605"/>
      <w:bookmarkStart w:id="35" w:name="_Toc61970390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pro rok 20</w:t>
      </w:r>
      <w:bookmarkEnd w:id="8"/>
      <w:bookmarkEnd w:id="9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21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554A88D5" w14:textId="77777777" w:rsid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40"/>
          <w:szCs w:val="56"/>
        </w:rPr>
      </w:pPr>
    </w:p>
    <w:p w14:paraId="277041D3" w14:textId="77777777" w:rsidR="007C1E3A" w:rsidRPr="00336021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44"/>
          <w:szCs w:val="56"/>
        </w:rPr>
      </w:pPr>
      <w:r w:rsidRPr="00336021">
        <w:rPr>
          <w:rFonts w:asciiTheme="minorHAnsi" w:hAnsiTheme="minorHAnsi" w:cstheme="minorHAnsi"/>
          <w:b/>
          <w:color w:val="C00000"/>
          <w:spacing w:val="100"/>
          <w:kern w:val="0"/>
          <w:sz w:val="44"/>
          <w:szCs w:val="56"/>
        </w:rPr>
        <w:t>Dodatek č. 1</w:t>
      </w:r>
    </w:p>
    <w:bookmarkEnd w:id="27"/>
    <w:p w14:paraId="189A0B74" w14:textId="77777777" w:rsidR="00336021" w:rsidRDefault="00336021" w:rsidP="007C1E3A">
      <w:pPr>
        <w:autoSpaceDE/>
        <w:autoSpaceDN/>
        <w:spacing w:before="120" w:after="0"/>
        <w:rPr>
          <w:rFonts w:cs="Times New Roman"/>
          <w:b/>
          <w:i/>
          <w:kern w:val="0"/>
          <w:sz w:val="24"/>
          <w:szCs w:val="24"/>
        </w:rPr>
      </w:pPr>
    </w:p>
    <w:p w14:paraId="68B625C6" w14:textId="77777777" w:rsidR="00336021" w:rsidRDefault="007C1E3A" w:rsidP="007C1E3A">
      <w:pPr>
        <w:autoSpaceDE/>
        <w:autoSpaceDN/>
        <w:spacing w:before="120" w:after="0"/>
        <w:rPr>
          <w:rFonts w:cs="Times New Roman"/>
          <w:b/>
          <w:i/>
          <w:kern w:val="0"/>
          <w:sz w:val="24"/>
          <w:szCs w:val="24"/>
        </w:rPr>
      </w:pPr>
      <w:r w:rsidRPr="00336021">
        <w:rPr>
          <w:rFonts w:cs="Times New Roman"/>
          <w:b/>
          <w:i/>
          <w:kern w:val="0"/>
          <w:sz w:val="24"/>
          <w:szCs w:val="24"/>
        </w:rPr>
        <w:t xml:space="preserve">Materiál pro jednání Akademického senátu UTB </w:t>
      </w:r>
      <w:r w:rsidR="00336021">
        <w:rPr>
          <w:rFonts w:cs="Times New Roman"/>
          <w:b/>
          <w:i/>
          <w:kern w:val="0"/>
          <w:sz w:val="24"/>
          <w:szCs w:val="24"/>
        </w:rPr>
        <w:t>ve Zlíně</w:t>
      </w:r>
    </w:p>
    <w:p w14:paraId="2ED40575" w14:textId="77777777" w:rsidR="007C1E3A" w:rsidRPr="00336021" w:rsidRDefault="007C1E3A" w:rsidP="007C1E3A">
      <w:pPr>
        <w:autoSpaceDE/>
        <w:autoSpaceDN/>
        <w:spacing w:before="120" w:after="0"/>
        <w:rPr>
          <w:rFonts w:cs="Times New Roman"/>
          <w:b/>
          <w:i/>
          <w:kern w:val="0"/>
          <w:sz w:val="24"/>
          <w:szCs w:val="24"/>
        </w:rPr>
      </w:pPr>
      <w:r w:rsidRPr="00336021">
        <w:rPr>
          <w:rFonts w:cs="Times New Roman"/>
          <w:b/>
          <w:i/>
          <w:kern w:val="0"/>
          <w:sz w:val="24"/>
          <w:szCs w:val="24"/>
        </w:rPr>
        <w:t xml:space="preserve">dne </w:t>
      </w:r>
      <w:r w:rsidR="00DA05F8">
        <w:rPr>
          <w:rFonts w:cs="Times New Roman"/>
          <w:b/>
          <w:i/>
          <w:kern w:val="0"/>
          <w:sz w:val="24"/>
          <w:szCs w:val="24"/>
        </w:rPr>
        <w:t>13</w:t>
      </w:r>
      <w:r w:rsidRPr="00336021">
        <w:rPr>
          <w:rFonts w:cs="Times New Roman"/>
          <w:b/>
          <w:i/>
          <w:kern w:val="0"/>
          <w:sz w:val="24"/>
          <w:szCs w:val="24"/>
        </w:rPr>
        <w:t>. dubna 2021.</w:t>
      </w:r>
    </w:p>
    <w:p w14:paraId="16E21BE5" w14:textId="77777777"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14:paraId="7B54D11E" w14:textId="77777777"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14:paraId="7FE75D30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</w:p>
    <w:p w14:paraId="69EEECDA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</w:p>
    <w:p w14:paraId="0E014F20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>-</w:t>
      </w:r>
    </w:p>
    <w:p w14:paraId="63452FA0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b/>
          <w:kern w:val="0"/>
          <w:sz w:val="28"/>
          <w:szCs w:val="24"/>
        </w:rPr>
      </w:pPr>
    </w:p>
    <w:p w14:paraId="70410562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b/>
          <w:kern w:val="0"/>
          <w:sz w:val="28"/>
          <w:szCs w:val="24"/>
        </w:rPr>
      </w:pPr>
    </w:p>
    <w:p w14:paraId="09786EE6" w14:textId="77777777" w:rsidR="007C1E3A" w:rsidRDefault="007C1E3A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14:paraId="6C432F6A" w14:textId="77777777" w:rsidR="00A86C87" w:rsidRDefault="00A86C87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14:paraId="687EE8BF" w14:textId="77777777" w:rsidR="00A86C87" w:rsidRDefault="00A86C87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14:paraId="67B3CF4F" w14:textId="77777777" w:rsidR="00A86C87" w:rsidRPr="007C1E3A" w:rsidRDefault="00A86C87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14:paraId="7825076D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proofErr w:type="gramStart"/>
      <w:r w:rsidRPr="007C1E3A">
        <w:rPr>
          <w:rFonts w:cs="Times New Roman"/>
          <w:kern w:val="0"/>
          <w:sz w:val="24"/>
          <w:szCs w:val="24"/>
        </w:rPr>
        <w:t xml:space="preserve">Předkládá:   </w:t>
      </w:r>
      <w:proofErr w:type="gramEnd"/>
      <w:r w:rsidRPr="007C1E3A">
        <w:rPr>
          <w:rFonts w:cs="Times New Roman"/>
          <w:kern w:val="0"/>
          <w:sz w:val="24"/>
          <w:szCs w:val="24"/>
        </w:rPr>
        <w:t xml:space="preserve"> prof. Ing. Vladimír </w:t>
      </w:r>
      <w:proofErr w:type="spellStart"/>
      <w:r w:rsidRPr="007C1E3A">
        <w:rPr>
          <w:rFonts w:cs="Times New Roman"/>
          <w:kern w:val="0"/>
          <w:sz w:val="24"/>
          <w:szCs w:val="24"/>
        </w:rPr>
        <w:t>Sedlařík</w:t>
      </w:r>
      <w:proofErr w:type="spellEnd"/>
      <w:r w:rsidRPr="007C1E3A">
        <w:rPr>
          <w:rFonts w:cs="Times New Roman"/>
          <w:kern w:val="0"/>
          <w:sz w:val="24"/>
          <w:szCs w:val="24"/>
        </w:rPr>
        <w:t xml:space="preserve">, Ph.D. </w:t>
      </w:r>
    </w:p>
    <w:p w14:paraId="3F9AD8DC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 xml:space="preserve">                     rektor</w:t>
      </w:r>
    </w:p>
    <w:p w14:paraId="327E37EE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</w:p>
    <w:p w14:paraId="2F346E4B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proofErr w:type="gramStart"/>
      <w:r w:rsidRPr="007C1E3A">
        <w:rPr>
          <w:rFonts w:cs="Times New Roman"/>
          <w:kern w:val="0"/>
          <w:sz w:val="24"/>
          <w:szCs w:val="24"/>
        </w:rPr>
        <w:t xml:space="preserve">Zpracoval:   </w:t>
      </w:r>
      <w:proofErr w:type="gramEnd"/>
      <w:r w:rsidRPr="007C1E3A">
        <w:rPr>
          <w:rFonts w:cs="Times New Roman"/>
          <w:kern w:val="0"/>
          <w:sz w:val="24"/>
          <w:szCs w:val="24"/>
        </w:rPr>
        <w:t xml:space="preserve"> RNDr. Alexander Černý</w:t>
      </w:r>
    </w:p>
    <w:p w14:paraId="0977FC01" w14:textId="77777777"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 xml:space="preserve">                     kvestor</w:t>
      </w:r>
    </w:p>
    <w:p w14:paraId="5B0B7426" w14:textId="77777777"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14:paraId="6173C213" w14:textId="77777777"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14:paraId="72CA4C6D" w14:textId="77777777"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  <w:sectPr w:rsidR="007C1E3A" w:rsidRPr="007C1E3A">
          <w:headerReference w:type="default" r:id="rId7"/>
          <w:footerReference w:type="default" r:id="rId8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14:paraId="55E2F432" w14:textId="77777777" w:rsidR="000A4722" w:rsidRPr="006C192E" w:rsidRDefault="000A4722" w:rsidP="000A4722"/>
    <w:p w14:paraId="7EBF1314" w14:textId="77777777" w:rsidR="000A4722" w:rsidRPr="00A12DD3" w:rsidRDefault="000A4722" w:rsidP="00A11CFE">
      <w:pPr>
        <w:jc w:val="both"/>
        <w:rPr>
          <w:rFonts w:cs="Times New Roman"/>
          <w:b/>
          <w:spacing w:val="11"/>
          <w:sz w:val="24"/>
          <w:szCs w:val="24"/>
        </w:rPr>
      </w:pPr>
      <w:r w:rsidRPr="00A12DD3">
        <w:rPr>
          <w:rFonts w:cs="Times New Roman"/>
          <w:sz w:val="24"/>
          <w:szCs w:val="24"/>
        </w:rPr>
        <w:t xml:space="preserve">V návaznosti na § 18 zákona č. 111/1998 Sb., o vysokých </w:t>
      </w:r>
      <w:r w:rsidRPr="00A12DD3">
        <w:rPr>
          <w:rFonts w:cs="Times New Roman"/>
          <w:spacing w:val="11"/>
          <w:sz w:val="24"/>
          <w:szCs w:val="24"/>
        </w:rPr>
        <w:t xml:space="preserve">školách a o změně a doplnění dalších zákonů (zákon o vysokých školách), ve znění </w:t>
      </w:r>
      <w:r w:rsidRPr="00A12DD3">
        <w:rPr>
          <w:rFonts w:cs="Times New Roman"/>
          <w:spacing w:val="2"/>
          <w:sz w:val="24"/>
          <w:szCs w:val="24"/>
        </w:rPr>
        <w:t xml:space="preserve">pozdějších předpisů, </w:t>
      </w:r>
      <w:r w:rsidRPr="00A12DD3">
        <w:rPr>
          <w:rFonts w:cs="Times New Roman"/>
          <w:spacing w:val="11"/>
          <w:sz w:val="24"/>
          <w:szCs w:val="24"/>
        </w:rPr>
        <w:t xml:space="preserve">dále v návaznosti na Pravidla rozpočtu UTB pro rok 2021, předkládá se Akademickému senátu UTB </w:t>
      </w:r>
      <w:r w:rsidRPr="00A12DD3">
        <w:rPr>
          <w:rFonts w:cs="Times New Roman"/>
          <w:b/>
          <w:spacing w:val="11"/>
          <w:sz w:val="24"/>
          <w:szCs w:val="24"/>
        </w:rPr>
        <w:t>Dodatek č. 1 k Pravidl</w:t>
      </w:r>
      <w:r w:rsidR="008D7912">
        <w:rPr>
          <w:rFonts w:cs="Times New Roman"/>
          <w:b/>
          <w:spacing w:val="11"/>
          <w:sz w:val="24"/>
          <w:szCs w:val="24"/>
        </w:rPr>
        <w:t>ům</w:t>
      </w:r>
      <w:r w:rsidRPr="00A12DD3">
        <w:rPr>
          <w:rFonts w:cs="Times New Roman"/>
          <w:b/>
          <w:spacing w:val="11"/>
          <w:sz w:val="24"/>
          <w:szCs w:val="24"/>
        </w:rPr>
        <w:t xml:space="preserve"> rozpočtu UTB pro rok 2021.</w:t>
      </w:r>
    </w:p>
    <w:p w14:paraId="034BDC35" w14:textId="77777777" w:rsidR="00A12DD3" w:rsidRDefault="00BE1BF8" w:rsidP="00A11CFE">
      <w:pPr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cs="Times New Roman"/>
          <w:sz w:val="24"/>
          <w:szCs w:val="24"/>
        </w:rPr>
        <w:t xml:space="preserve">Tento dodatek řeší </w:t>
      </w:r>
      <w:r w:rsidR="00A12DD3" w:rsidRPr="00A12DD3">
        <w:rPr>
          <w:rFonts w:cs="Times New Roman"/>
          <w:sz w:val="24"/>
          <w:szCs w:val="24"/>
        </w:rPr>
        <w:t xml:space="preserve">možnost zabezpečení finančních zdrojů pro pořízení (nákup) </w:t>
      </w:r>
      <w:r w:rsidR="00A12DD3"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multifunkčního sportoviště, které by z větší části uspokojilo potřeby pro zajištění a rozvoj sportovních aktivit na UTB. </w:t>
      </w:r>
    </w:p>
    <w:p w14:paraId="104B8D23" w14:textId="77777777" w:rsidR="00FD181F" w:rsidRPr="00A12DD3" w:rsidRDefault="00FD181F" w:rsidP="00A11CFE">
      <w:pPr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</w:p>
    <w:p w14:paraId="3D722DD1" w14:textId="77777777" w:rsidR="00A12DD3" w:rsidRPr="00A12DD3" w:rsidRDefault="00A12DD3" w:rsidP="00A12DD3">
      <w:p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V současné době </w:t>
      </w:r>
      <w:r w:rsidR="008D7912">
        <w:rPr>
          <w:rFonts w:eastAsiaTheme="minorHAnsi" w:cs="Times New Roman"/>
          <w:kern w:val="0"/>
          <w:sz w:val="24"/>
          <w:szCs w:val="22"/>
          <w:lang w:eastAsia="en-US"/>
        </w:rPr>
        <w:t xml:space="preserve">se nabízí </w:t>
      </w: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k prodeji následující pozemky a objekty:</w:t>
      </w:r>
    </w:p>
    <w:p w14:paraId="60547AF3" w14:textId="77777777" w:rsidR="00A12DD3" w:rsidRPr="00A12DD3" w:rsidRDefault="00A12DD3" w:rsidP="00A12DD3">
      <w:pPr>
        <w:numPr>
          <w:ilvl w:val="0"/>
          <w:numId w:val="3"/>
        </w:numPr>
        <w:autoSpaceDE/>
        <w:autoSpaceDN/>
        <w:spacing w:after="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Budova na adrese </w:t>
      </w:r>
      <w:proofErr w:type="spellStart"/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Růmy</w:t>
      </w:r>
      <w:proofErr w:type="spellEnd"/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 č. p. 5470 (stavba občanského vybavení) postavená na pozemku p. č. 8684, zastavěná plocha a nádvoří 1 703 m</w:t>
      </w:r>
      <w:r w:rsidRPr="00A12DD3">
        <w:rPr>
          <w:rFonts w:eastAsiaTheme="minorHAnsi" w:cs="Times New Roman"/>
          <w:kern w:val="0"/>
          <w:sz w:val="24"/>
          <w:szCs w:val="22"/>
          <w:vertAlign w:val="superscript"/>
          <w:lang w:eastAsia="en-US"/>
        </w:rPr>
        <w:t>2</w:t>
      </w: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. </w:t>
      </w:r>
    </w:p>
    <w:p w14:paraId="23FD95D2" w14:textId="77777777" w:rsidR="00A12DD3" w:rsidRPr="00A12DD3" w:rsidRDefault="00A11CFE" w:rsidP="00A12DD3">
      <w:pPr>
        <w:autoSpaceDE/>
        <w:autoSpaceDN/>
        <w:spacing w:after="0"/>
        <w:ind w:left="36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>Z</w:t>
      </w:r>
      <w:r w:rsidR="00A12DD3" w:rsidRPr="00A12DD3">
        <w:rPr>
          <w:rFonts w:eastAsiaTheme="minorHAnsi" w:cs="Times New Roman"/>
          <w:kern w:val="0"/>
          <w:sz w:val="24"/>
          <w:szCs w:val="22"/>
          <w:lang w:eastAsia="en-US"/>
        </w:rPr>
        <w:t>apsáno na LV č. 25978 pro katastrální území Zlín, obec Zlín u Katastrálního úřadu pro Zlínský kraj, katastrální pracoviště Zlín.</w:t>
      </w:r>
    </w:p>
    <w:p w14:paraId="52694F16" w14:textId="77777777" w:rsidR="00A12DD3" w:rsidRPr="00A12DD3" w:rsidRDefault="00A12DD3" w:rsidP="00A12DD3">
      <w:pPr>
        <w:numPr>
          <w:ilvl w:val="0"/>
          <w:numId w:val="3"/>
        </w:num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4"/>
          <w:lang w:eastAsia="en-US"/>
        </w:rPr>
      </w:pPr>
      <w:r w:rsidRPr="00A12DD3">
        <w:rPr>
          <w:rFonts w:eastAsiaTheme="minorHAnsi" w:cs="Times New Roman"/>
          <w:kern w:val="0"/>
          <w:sz w:val="24"/>
          <w:lang w:eastAsia="en-US"/>
        </w:rPr>
        <w:t>Parcela č. 1090/10 o výměře 3363 m</w:t>
      </w:r>
      <w:r w:rsidRPr="00A12DD3">
        <w:rPr>
          <w:rFonts w:eastAsiaTheme="minorHAnsi" w:cs="Times New Roman"/>
          <w:kern w:val="0"/>
          <w:sz w:val="24"/>
          <w:vertAlign w:val="superscript"/>
          <w:lang w:eastAsia="en-US"/>
        </w:rPr>
        <w:t>2</w:t>
      </w:r>
      <w:r w:rsidRPr="00A12DD3">
        <w:rPr>
          <w:rFonts w:eastAsiaTheme="minorHAnsi" w:cs="Times New Roman"/>
          <w:kern w:val="0"/>
          <w:sz w:val="24"/>
          <w:lang w:eastAsia="en-US"/>
        </w:rPr>
        <w:t>, ostatní plocha (sportoviště a rekreační plocha)</w:t>
      </w:r>
    </w:p>
    <w:p w14:paraId="2D0BE8DE" w14:textId="77777777" w:rsidR="00A12DD3" w:rsidRPr="00A12DD3" w:rsidRDefault="00A12DD3" w:rsidP="00A12DD3">
      <w:pPr>
        <w:numPr>
          <w:ilvl w:val="0"/>
          <w:numId w:val="3"/>
        </w:num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4"/>
          <w:lang w:eastAsia="en-US"/>
        </w:rPr>
      </w:pPr>
      <w:r w:rsidRPr="00A12DD3">
        <w:rPr>
          <w:rFonts w:eastAsiaTheme="minorHAnsi" w:cs="Times New Roman"/>
          <w:kern w:val="0"/>
          <w:sz w:val="24"/>
          <w:lang w:eastAsia="en-US"/>
        </w:rPr>
        <w:t>Parcela č. 1090/117 o výměře 738 m</w:t>
      </w:r>
      <w:r w:rsidRPr="00A12DD3">
        <w:rPr>
          <w:rFonts w:eastAsiaTheme="minorHAnsi" w:cs="Times New Roman"/>
          <w:kern w:val="0"/>
          <w:sz w:val="24"/>
          <w:vertAlign w:val="superscript"/>
          <w:lang w:eastAsia="en-US"/>
        </w:rPr>
        <w:t>2</w:t>
      </w:r>
      <w:r w:rsidRPr="00A12DD3">
        <w:rPr>
          <w:rFonts w:eastAsiaTheme="minorHAnsi" w:cs="Times New Roman"/>
          <w:kern w:val="0"/>
          <w:sz w:val="24"/>
          <w:lang w:eastAsia="en-US"/>
        </w:rPr>
        <w:t>, ostatní komunikace</w:t>
      </w:r>
    </w:p>
    <w:p w14:paraId="3CF15960" w14:textId="77777777" w:rsidR="00A12DD3" w:rsidRPr="00A12DD3" w:rsidRDefault="00A12DD3" w:rsidP="00A12DD3">
      <w:pPr>
        <w:autoSpaceDE/>
        <w:autoSpaceDN/>
        <w:spacing w:after="0"/>
        <w:ind w:left="36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Uvedené nemovitosti jsou zapsány na LV č. 18838 pro katastrální území Zlín, obec Zlín u Katastrálního úřadu pro Zlínský kraj, katastrální pracoviště Zlín.</w:t>
      </w:r>
    </w:p>
    <w:p w14:paraId="11FE91B8" w14:textId="77777777" w:rsidR="00A12DD3" w:rsidRPr="00A12DD3" w:rsidRDefault="00A12DD3" w:rsidP="00A12DD3">
      <w:pPr>
        <w:autoSpaceDE/>
        <w:autoSpaceDN/>
        <w:spacing w:after="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</w:p>
    <w:p w14:paraId="6E28EB26" w14:textId="77777777" w:rsidR="00A12DD3" w:rsidRPr="00A12DD3" w:rsidRDefault="00A12DD3" w:rsidP="00A12DD3">
      <w:p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Dispozice </w:t>
      </w:r>
      <w:proofErr w:type="gramStart"/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areálu - objekt</w:t>
      </w:r>
      <w:proofErr w:type="gramEnd"/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 tvoří 3 samostatně funkční celky:</w:t>
      </w:r>
    </w:p>
    <w:p w14:paraId="32D2108F" w14:textId="77777777" w:rsidR="00A12DD3" w:rsidRPr="00A12DD3" w:rsidRDefault="00A12DD3" w:rsidP="00A12DD3">
      <w:pPr>
        <w:numPr>
          <w:ilvl w:val="0"/>
          <w:numId w:val="2"/>
        </w:num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4"/>
          <w:lang w:eastAsia="en-US"/>
        </w:rPr>
      </w:pPr>
      <w:r w:rsidRPr="00A12DD3">
        <w:rPr>
          <w:rFonts w:eastAsiaTheme="minorHAnsi" w:cs="Times New Roman"/>
          <w:kern w:val="0"/>
          <w:sz w:val="24"/>
          <w:lang w:eastAsia="en-US"/>
        </w:rPr>
        <w:t>Převážnou objemovou část tvoří hala pro 2 tenisová a 4 badmintonová hřiště a příslušenství pro obsluhu a převlékání hostů. Kapacita haly je 60 cvičících.</w:t>
      </w:r>
    </w:p>
    <w:p w14:paraId="3FD20C40" w14:textId="77777777" w:rsidR="00A12DD3" w:rsidRPr="00A12DD3" w:rsidRDefault="00A12DD3" w:rsidP="00A12DD3">
      <w:pPr>
        <w:numPr>
          <w:ilvl w:val="0"/>
          <w:numId w:val="1"/>
        </w:numPr>
        <w:autoSpaceDE/>
        <w:autoSpaceDN/>
        <w:spacing w:after="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V 1. PP jsou situovány 3 menší tělocvičny, dětský koutek, sociální </w:t>
      </w:r>
      <w:proofErr w:type="gramStart"/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zázemí  a</w:t>
      </w:r>
      <w:proofErr w:type="gramEnd"/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 prostory pro obsluhu (bar). Garáž je využívána jako skladovací a manipulační prostor.</w:t>
      </w:r>
    </w:p>
    <w:p w14:paraId="782CC5F8" w14:textId="77777777" w:rsidR="00A12DD3" w:rsidRPr="00A12DD3" w:rsidRDefault="00A12DD3" w:rsidP="00A12DD3">
      <w:pPr>
        <w:numPr>
          <w:ilvl w:val="0"/>
          <w:numId w:val="1"/>
        </w:numPr>
        <w:autoSpaceDE/>
        <w:autoSpaceDN/>
        <w:spacing w:after="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Další částí jsou: samostatný byt (hlavní obytná část 4+kk) a nebytové jednotky pro hosty 1+kk a 2+kk v prostoru pod halou. K bytu je přidružen bazén, dostupný výtahem.</w:t>
      </w:r>
    </w:p>
    <w:p w14:paraId="68B3A950" w14:textId="77777777" w:rsidR="00A12DD3" w:rsidRDefault="00A12DD3" w:rsidP="00A12DD3">
      <w:p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</w:p>
    <w:p w14:paraId="4F734365" w14:textId="77777777" w:rsidR="00E57A2B" w:rsidRPr="00A12DD3" w:rsidRDefault="00E57A2B" w:rsidP="00E57A2B">
      <w:pPr>
        <w:autoSpaceDE/>
        <w:autoSpaceDN/>
        <w:spacing w:after="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Cena nemovitosti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maximálně </w:t>
      </w: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53 mil. Kč.</w:t>
      </w:r>
    </w:p>
    <w:p w14:paraId="13ED51A9" w14:textId="77777777" w:rsidR="00E57A2B" w:rsidRDefault="00E57A2B" w:rsidP="00A12DD3">
      <w:p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</w:p>
    <w:p w14:paraId="12627D50" w14:textId="77777777" w:rsidR="0049631C" w:rsidRPr="0049631C" w:rsidRDefault="0049631C" w:rsidP="0049631C">
      <w:pPr>
        <w:autoSpaceDE/>
        <w:autoSpaceDN/>
        <w:spacing w:after="60"/>
        <w:jc w:val="both"/>
        <w:rPr>
          <w:rFonts w:cs="Times New Roman"/>
          <w:kern w:val="0"/>
          <w:sz w:val="24"/>
          <w:szCs w:val="24"/>
        </w:rPr>
      </w:pPr>
    </w:p>
    <w:p w14:paraId="676E3363" w14:textId="77777777" w:rsidR="0049631C" w:rsidRPr="0049631C" w:rsidRDefault="0049631C" w:rsidP="0049631C">
      <w:pPr>
        <w:autoSpaceDE/>
        <w:autoSpaceDN/>
        <w:spacing w:after="160" w:line="259" w:lineRule="auto"/>
        <w:jc w:val="both"/>
        <w:rPr>
          <w:rFonts w:eastAsiaTheme="minorHAnsi" w:cs="Times New Roman"/>
          <w:b/>
          <w:kern w:val="0"/>
          <w:sz w:val="24"/>
          <w:szCs w:val="22"/>
          <w:lang w:eastAsia="en-US"/>
        </w:rPr>
      </w:pPr>
      <w:r w:rsidRPr="0049631C">
        <w:rPr>
          <w:rFonts w:eastAsiaTheme="minorHAnsi" w:cs="Times New Roman"/>
          <w:b/>
          <w:kern w:val="0"/>
          <w:sz w:val="24"/>
          <w:szCs w:val="22"/>
          <w:lang w:eastAsia="en-US"/>
        </w:rPr>
        <w:t>Závazný postup vytv</w:t>
      </w:r>
      <w:r>
        <w:rPr>
          <w:rFonts w:eastAsiaTheme="minorHAnsi" w:cs="Times New Roman"/>
          <w:b/>
          <w:kern w:val="0"/>
          <w:sz w:val="24"/>
          <w:szCs w:val="22"/>
          <w:lang w:eastAsia="en-US"/>
        </w:rPr>
        <w:t xml:space="preserve">oření </w:t>
      </w:r>
      <w:r w:rsidRPr="0049631C">
        <w:rPr>
          <w:rFonts w:eastAsiaTheme="minorHAnsi" w:cs="Times New Roman"/>
          <w:b/>
          <w:kern w:val="0"/>
          <w:sz w:val="24"/>
          <w:szCs w:val="22"/>
          <w:lang w:eastAsia="en-US"/>
        </w:rPr>
        <w:t xml:space="preserve">finančních zdrojů pro </w:t>
      </w:r>
      <w:r>
        <w:rPr>
          <w:rFonts w:eastAsiaTheme="minorHAnsi" w:cs="Times New Roman"/>
          <w:b/>
          <w:kern w:val="0"/>
          <w:sz w:val="24"/>
          <w:szCs w:val="22"/>
          <w:lang w:eastAsia="en-US"/>
        </w:rPr>
        <w:t xml:space="preserve">pořízení sportovního areálu </w:t>
      </w:r>
      <w:proofErr w:type="spellStart"/>
      <w:r>
        <w:rPr>
          <w:rFonts w:eastAsiaTheme="minorHAnsi" w:cs="Times New Roman"/>
          <w:b/>
          <w:kern w:val="0"/>
          <w:sz w:val="24"/>
          <w:szCs w:val="22"/>
          <w:lang w:eastAsia="en-US"/>
        </w:rPr>
        <w:t>Růmy</w:t>
      </w:r>
      <w:proofErr w:type="spellEnd"/>
      <w:r w:rsidRPr="0049631C">
        <w:rPr>
          <w:rFonts w:eastAsiaTheme="minorHAnsi" w:cs="Times New Roman"/>
          <w:b/>
          <w:kern w:val="0"/>
          <w:sz w:val="24"/>
          <w:szCs w:val="22"/>
          <w:lang w:eastAsia="en-US"/>
        </w:rPr>
        <w:t>:</w:t>
      </w:r>
    </w:p>
    <w:p w14:paraId="09B64831" w14:textId="77777777" w:rsidR="0049631C" w:rsidRDefault="0049631C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Pro financování bude </w:t>
      </w:r>
      <w:r w:rsid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v každém případě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>využito prostředků ve Fondu financování projektů ve výši 17 000 tis. Kč.</w:t>
      </w:r>
      <w:r w:rsidRPr="0049631C">
        <w:rPr>
          <w:rFonts w:eastAsiaTheme="minorHAnsi" w:cs="Times New Roman"/>
          <w:kern w:val="0"/>
          <w:sz w:val="24"/>
          <w:szCs w:val="22"/>
          <w:lang w:eastAsia="en-US"/>
        </w:rPr>
        <w:t xml:space="preserve"> </w:t>
      </w:r>
    </w:p>
    <w:p w14:paraId="30FC3081" w14:textId="77777777" w:rsidR="000750E9" w:rsidRDefault="0049631C" w:rsidP="00D0624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49631C">
        <w:rPr>
          <w:rFonts w:eastAsiaTheme="minorHAnsi" w:cs="Times New Roman"/>
          <w:kern w:val="0"/>
          <w:sz w:val="24"/>
          <w:szCs w:val="22"/>
          <w:lang w:eastAsia="en-US"/>
        </w:rPr>
        <w:t xml:space="preserve">Rozdíl až do výše kupní ceny nemovitosti bude uhrazen mimořádnými </w:t>
      </w:r>
      <w:r w:rsidR="00EA5158">
        <w:rPr>
          <w:rFonts w:eastAsiaTheme="minorHAnsi" w:cs="Times New Roman"/>
          <w:kern w:val="0"/>
          <w:sz w:val="24"/>
          <w:szCs w:val="22"/>
          <w:lang w:eastAsia="en-US"/>
        </w:rPr>
        <w:t xml:space="preserve">odvody </w:t>
      </w:r>
      <w:r w:rsidRPr="0049631C">
        <w:rPr>
          <w:rFonts w:eastAsiaTheme="minorHAnsi" w:cs="Times New Roman"/>
          <w:kern w:val="0"/>
          <w:sz w:val="24"/>
          <w:szCs w:val="22"/>
          <w:lang w:eastAsia="en-US"/>
        </w:rPr>
        <w:t>fakult UTB</w:t>
      </w:r>
      <w:r w:rsid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a CPS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>z příspěvků pro rok 2021 ve zdroji 1100 (příspěvek na institucionální financování VVŠ)</w:t>
      </w:r>
      <w:r w:rsidR="000750E9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14:paraId="55DDA140" w14:textId="77777777" w:rsidR="0049631C" w:rsidRDefault="000750E9" w:rsidP="00D0624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Pro stanovení výše mimořádného odvodu na sportovní areál </w:t>
      </w:r>
      <w:proofErr w:type="spellStart"/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>Růmy</w:t>
      </w:r>
      <w:proofErr w:type="spellEnd"/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 xml:space="preserve">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>jsou organizační jednotky rozděleny do kategorií:</w:t>
      </w:r>
    </w:p>
    <w:p w14:paraId="327FECAB" w14:textId="77777777" w:rsidR="00EA5158" w:rsidRPr="000750E9" w:rsidRDefault="000750E9" w:rsidP="000750E9">
      <w:pPr>
        <w:pStyle w:val="Odstavecseseznamem"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Kategorie A: 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>f</w:t>
      </w:r>
      <w:r w:rsidR="0049631C"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akulty FT, FAI, FMK, FHS a </w:t>
      </w:r>
      <w:proofErr w:type="spellStart"/>
      <w:r w:rsidR="0049631C" w:rsidRPr="000750E9">
        <w:rPr>
          <w:rFonts w:eastAsiaTheme="minorHAnsi" w:cs="Times New Roman"/>
          <w:kern w:val="0"/>
          <w:sz w:val="24"/>
          <w:szCs w:val="22"/>
          <w:lang w:eastAsia="en-US"/>
        </w:rPr>
        <w:t>FaME</w:t>
      </w:r>
      <w:proofErr w:type="spellEnd"/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, 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odvod stanoven 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 xml:space="preserve">pro každou fakultu 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>ve shodné výši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(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počet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podíl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>ů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 xml:space="preserve">každé fakulty: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3)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14:paraId="70A71C7B" w14:textId="77777777" w:rsidR="000750E9" w:rsidRPr="000750E9" w:rsidRDefault="000750E9" w:rsidP="000750E9">
      <w:pPr>
        <w:pStyle w:val="Odstavecseseznamem"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Kategorie B: </w:t>
      </w:r>
      <w:r w:rsidR="000B4BD5" w:rsidRPr="000750E9">
        <w:rPr>
          <w:rFonts w:eastAsiaTheme="minorHAnsi" w:cs="Times New Roman"/>
          <w:kern w:val="0"/>
          <w:sz w:val="24"/>
          <w:szCs w:val="22"/>
          <w:lang w:eastAsia="en-US"/>
        </w:rPr>
        <w:t>fakult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a</w:t>
      </w:r>
      <w:r w:rsidR="000B4BD5"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FLKŘ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,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počet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podíl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>ů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2.</w:t>
      </w:r>
    </w:p>
    <w:p w14:paraId="55FC9C02" w14:textId="77777777" w:rsidR="000750E9" w:rsidRPr="000750E9" w:rsidRDefault="000750E9" w:rsidP="000750E9">
      <w:pPr>
        <w:pStyle w:val="Odstavecseseznamem"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Kategorie C: CPS,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počet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podíl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>ů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1.</w:t>
      </w:r>
    </w:p>
    <w:p w14:paraId="56F9E658" w14:textId="77777777" w:rsidR="00FD2020" w:rsidRDefault="000750E9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lastRenderedPageBreak/>
        <w:t xml:space="preserve">Pro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smluvně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dosaženou kupní cenu </w:t>
      </w:r>
      <w:r w:rsidRPr="00FD2020">
        <w:rPr>
          <w:rFonts w:eastAsiaTheme="minorHAnsi" w:cs="Times New Roman"/>
          <w:b/>
          <w:kern w:val="0"/>
          <w:sz w:val="24"/>
          <w:szCs w:val="22"/>
          <w:lang w:eastAsia="en-US"/>
        </w:rPr>
        <w:t>KC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(v mil. Kč) bude výše mimořádného odvodu z prostředků organizačních jednotek rovna </w:t>
      </w:r>
      <w:r w:rsidR="00FD2020" w:rsidRPr="00FD2020">
        <w:rPr>
          <w:rFonts w:eastAsiaTheme="minorHAnsi" w:cs="Times New Roman"/>
          <w:b/>
          <w:kern w:val="0"/>
          <w:sz w:val="24"/>
          <w:szCs w:val="22"/>
          <w:lang w:eastAsia="en-US"/>
        </w:rPr>
        <w:t>(KC -17)</w:t>
      </w:r>
      <w:r w:rsidR="00FD2020">
        <w:rPr>
          <w:rFonts w:eastAsiaTheme="minorHAnsi" w:cs="Times New Roman"/>
          <w:b/>
          <w:kern w:val="0"/>
          <w:sz w:val="24"/>
          <w:szCs w:val="22"/>
          <w:lang w:eastAsia="en-US"/>
        </w:rPr>
        <w:t xml:space="preserve"> </w:t>
      </w:r>
      <w:r w:rsidR="00FD2020" w:rsidRPr="00FD2020">
        <w:rPr>
          <w:rFonts w:eastAsiaTheme="minorHAnsi" w:cs="Times New Roman"/>
          <w:kern w:val="0"/>
          <w:sz w:val="24"/>
          <w:szCs w:val="22"/>
          <w:lang w:eastAsia="en-US"/>
        </w:rPr>
        <w:t>v mil. Kč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14:paraId="4C06B435" w14:textId="77777777" w:rsidR="00FD2020" w:rsidRDefault="00FD2020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Finanční velikost </w:t>
      </w:r>
      <w:r w:rsidR="000B4BD5">
        <w:rPr>
          <w:rFonts w:eastAsiaTheme="minorHAnsi" w:cs="Times New Roman"/>
          <w:kern w:val="0"/>
          <w:sz w:val="24"/>
          <w:szCs w:val="22"/>
          <w:lang w:eastAsia="en-US"/>
        </w:rPr>
        <w:t>je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dnoho podílu je </w:t>
      </w:r>
      <w:r w:rsidRPr="00FD181F">
        <w:rPr>
          <w:rFonts w:eastAsiaTheme="minorHAnsi" w:cs="Times New Roman"/>
          <w:b/>
          <w:kern w:val="0"/>
          <w:sz w:val="24"/>
          <w:szCs w:val="22"/>
          <w:lang w:eastAsia="en-US"/>
        </w:rPr>
        <w:t>(KC-</w:t>
      </w:r>
      <w:proofErr w:type="gramStart"/>
      <w:r w:rsidRPr="00FD181F">
        <w:rPr>
          <w:rFonts w:eastAsiaTheme="minorHAnsi" w:cs="Times New Roman"/>
          <w:b/>
          <w:kern w:val="0"/>
          <w:sz w:val="24"/>
          <w:szCs w:val="22"/>
          <w:lang w:eastAsia="en-US"/>
        </w:rPr>
        <w:t>17)/</w:t>
      </w:r>
      <w:proofErr w:type="gramEnd"/>
      <w:r w:rsidRPr="00FD181F">
        <w:rPr>
          <w:rFonts w:eastAsiaTheme="minorHAnsi" w:cs="Times New Roman"/>
          <w:b/>
          <w:kern w:val="0"/>
          <w:sz w:val="24"/>
          <w:szCs w:val="22"/>
          <w:lang w:eastAsia="en-US"/>
        </w:rPr>
        <w:t>18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 v mil. Kč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14:paraId="383C20DB" w14:textId="77777777" w:rsidR="00FD181F" w:rsidRDefault="00FD181F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>Výše mimořádného odvodu pro výše uvedené organizační jednotky je rovna součinu finanční velikosti jednoho podílu a počtu podílů dané organizační jednotky.</w:t>
      </w:r>
    </w:p>
    <w:p w14:paraId="75C555F6" w14:textId="77777777" w:rsidR="00DA05F8" w:rsidRDefault="00DA05F8" w:rsidP="00DA05F8">
      <w:p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</w:p>
    <w:p w14:paraId="2E7FA77E" w14:textId="77777777" w:rsidR="00DA05F8" w:rsidRDefault="00DA05F8" w:rsidP="00DA05F8">
      <w:p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>Pokud nebude pořízení nemovitostí realizováno, budou prostředky tohoto mimořádného odvodu vráceny v poskytnuté výši na příslušné organizační jednotky.</w:t>
      </w:r>
    </w:p>
    <w:sectPr w:rsidR="00DA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F00A" w14:textId="77777777" w:rsidR="00B66749" w:rsidRDefault="00B66749" w:rsidP="00A86C87">
      <w:pPr>
        <w:spacing w:after="0"/>
      </w:pPr>
      <w:r>
        <w:separator/>
      </w:r>
    </w:p>
  </w:endnote>
  <w:endnote w:type="continuationSeparator" w:id="0">
    <w:p w14:paraId="515A9430" w14:textId="77777777" w:rsidR="00B66749" w:rsidRDefault="00B66749" w:rsidP="00A86C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PalatinoTTE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C77C" w14:textId="238A93B2" w:rsidR="00DA6B0D" w:rsidRPr="00336021" w:rsidRDefault="00DA6B0D" w:rsidP="00F3150A">
    <w:pPr>
      <w:pBdr>
        <w:top w:val="thinThickSmallGap" w:sz="24" w:space="1" w:color="622423"/>
      </w:pBdr>
      <w:tabs>
        <w:tab w:val="right" w:pos="9072"/>
      </w:tabs>
      <w:autoSpaceDE/>
      <w:autoSpaceDN/>
      <w:spacing w:after="0"/>
      <w:jc w:val="right"/>
      <w:rPr>
        <w:rFonts w:ascii="Arial" w:eastAsia="Calibri" w:hAnsi="Arial" w:cs="Arial"/>
        <w:b/>
        <w:i/>
        <w:kern w:val="0"/>
        <w:szCs w:val="24"/>
        <w:lang w:val="x-none"/>
      </w:rPr>
    </w:pPr>
    <w:r w:rsidRPr="00336021">
      <w:rPr>
        <w:rFonts w:ascii="Arial" w:eastAsia="Calibri" w:hAnsi="Arial" w:cs="Arial"/>
        <w:b/>
        <w:i/>
        <w:kern w:val="0"/>
        <w:szCs w:val="24"/>
        <w:lang w:val="x-none"/>
      </w:rPr>
      <w:t>Str</w:t>
    </w:r>
    <w:r w:rsidR="00336021">
      <w:rPr>
        <w:rFonts w:ascii="Arial" w:eastAsia="Calibri" w:hAnsi="Arial" w:cs="Arial"/>
        <w:b/>
        <w:i/>
        <w:kern w:val="0"/>
        <w:szCs w:val="24"/>
      </w:rPr>
      <w:t>ana:</w: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t xml:space="preserve"> </w: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fldChar w:fldCharType="begin"/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instrText xml:space="preserve"> PAGE   \* MERGEFORMAT </w:instrTex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fldChar w:fldCharType="separate"/>
    </w:r>
    <w:r w:rsidR="00E160BE">
      <w:rPr>
        <w:rFonts w:ascii="Arial" w:eastAsia="Calibri" w:hAnsi="Arial" w:cs="Arial"/>
        <w:b/>
        <w:i/>
        <w:noProof/>
        <w:kern w:val="0"/>
        <w:szCs w:val="24"/>
        <w:lang w:val="x-none"/>
      </w:rPr>
      <w:t>2</w: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fldChar w:fldCharType="end"/>
    </w:r>
  </w:p>
  <w:p w14:paraId="0E0BB924" w14:textId="77777777" w:rsidR="00DA6B0D" w:rsidRDefault="00DA6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609E" w14:textId="77777777" w:rsidR="00B66749" w:rsidRDefault="00B66749" w:rsidP="00A86C87">
      <w:pPr>
        <w:spacing w:after="0"/>
      </w:pPr>
      <w:r>
        <w:separator/>
      </w:r>
    </w:p>
  </w:footnote>
  <w:footnote w:type="continuationSeparator" w:id="0">
    <w:p w14:paraId="040C710F" w14:textId="77777777" w:rsidR="00B66749" w:rsidRDefault="00B66749" w:rsidP="00A86C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0786" w14:textId="77777777" w:rsidR="00A86C87" w:rsidRPr="00336021" w:rsidRDefault="00A86C87" w:rsidP="00A86C87">
    <w:pPr>
      <w:tabs>
        <w:tab w:val="center" w:pos="4536"/>
        <w:tab w:val="right" w:pos="9072"/>
      </w:tabs>
      <w:autoSpaceDE/>
      <w:autoSpaceDN/>
      <w:spacing w:after="0"/>
      <w:rPr>
        <w:rFonts w:ascii="Arial" w:eastAsia="Calibri" w:hAnsi="Arial" w:cs="Arial"/>
        <w:b/>
        <w:i/>
        <w:kern w:val="0"/>
        <w:sz w:val="24"/>
        <w:szCs w:val="22"/>
      </w:rPr>
    </w:pPr>
    <w:r w:rsidRPr="00336021">
      <w:rPr>
        <w:rFonts w:ascii="Arial" w:eastAsia="Calibri" w:hAnsi="Arial" w:cs="Arial"/>
        <w:b/>
        <w:i/>
        <w:kern w:val="0"/>
        <w:sz w:val="24"/>
        <w:szCs w:val="22"/>
        <w:lang w:val="x-none"/>
      </w:rPr>
      <w:t xml:space="preserve">UTB ve Zlíně                                       Pravidla rozpočtu </w:t>
    </w:r>
    <w:r w:rsidRPr="00336021">
      <w:rPr>
        <w:rFonts w:ascii="Arial" w:eastAsia="Calibri" w:hAnsi="Arial" w:cs="Arial"/>
        <w:b/>
        <w:i/>
        <w:kern w:val="0"/>
        <w:sz w:val="24"/>
        <w:szCs w:val="22"/>
      </w:rPr>
      <w:t xml:space="preserve">pro </w:t>
    </w:r>
    <w:r w:rsidRPr="00336021">
      <w:rPr>
        <w:rFonts w:ascii="Arial" w:eastAsia="Calibri" w:hAnsi="Arial" w:cs="Arial"/>
        <w:b/>
        <w:i/>
        <w:kern w:val="0"/>
        <w:sz w:val="24"/>
        <w:szCs w:val="22"/>
        <w:lang w:val="x-none"/>
      </w:rPr>
      <w:t>rok 20</w:t>
    </w:r>
    <w:r w:rsidRPr="00336021">
      <w:rPr>
        <w:rFonts w:ascii="Arial" w:eastAsia="Calibri" w:hAnsi="Arial" w:cs="Arial"/>
        <w:b/>
        <w:i/>
        <w:kern w:val="0"/>
        <w:sz w:val="24"/>
        <w:szCs w:val="22"/>
      </w:rPr>
      <w:t>21 dodatek č. 1</w:t>
    </w:r>
  </w:p>
  <w:p w14:paraId="4AFCA3B4" w14:textId="77777777" w:rsidR="00D214E1" w:rsidRPr="00A86C87" w:rsidRDefault="00B8498E">
    <w:pPr>
      <w:pStyle w:val="Zhlav"/>
      <w:rPr>
        <w:rFonts w:ascii="Arial" w:hAnsi="Arial" w:cs="Arial"/>
        <w:b/>
        <w:lang w:val="cs-CZ"/>
      </w:rPr>
    </w:pPr>
    <w:r w:rsidRPr="00A86C87">
      <w:rPr>
        <w:rFonts w:ascii="Arial" w:hAnsi="Arial" w:cs="Arial"/>
        <w:b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762"/>
    <w:multiLevelType w:val="hybridMultilevel"/>
    <w:tmpl w:val="6EA8AA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B5E05"/>
    <w:multiLevelType w:val="hybridMultilevel"/>
    <w:tmpl w:val="49B4D4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F5919"/>
    <w:multiLevelType w:val="hybridMultilevel"/>
    <w:tmpl w:val="9CD2C2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9478D"/>
    <w:multiLevelType w:val="hybridMultilevel"/>
    <w:tmpl w:val="4086C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0D20"/>
    <w:multiLevelType w:val="hybridMultilevel"/>
    <w:tmpl w:val="681EE6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DD43FF"/>
    <w:multiLevelType w:val="hybridMultilevel"/>
    <w:tmpl w:val="A1DC0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3A"/>
    <w:rsid w:val="000578AF"/>
    <w:rsid w:val="000750E9"/>
    <w:rsid w:val="000A4722"/>
    <w:rsid w:val="000B4BD5"/>
    <w:rsid w:val="00115EDD"/>
    <w:rsid w:val="00231E8B"/>
    <w:rsid w:val="00336021"/>
    <w:rsid w:val="0049631C"/>
    <w:rsid w:val="004976B4"/>
    <w:rsid w:val="00664668"/>
    <w:rsid w:val="007C1E3A"/>
    <w:rsid w:val="007E3753"/>
    <w:rsid w:val="008530E6"/>
    <w:rsid w:val="008D7912"/>
    <w:rsid w:val="00A11CFE"/>
    <w:rsid w:val="00A12DD3"/>
    <w:rsid w:val="00A86C87"/>
    <w:rsid w:val="00B66749"/>
    <w:rsid w:val="00B8498E"/>
    <w:rsid w:val="00BE1BF8"/>
    <w:rsid w:val="00C54905"/>
    <w:rsid w:val="00D00202"/>
    <w:rsid w:val="00D5374C"/>
    <w:rsid w:val="00DA05F8"/>
    <w:rsid w:val="00DA6B0D"/>
    <w:rsid w:val="00E160BE"/>
    <w:rsid w:val="00E57A2B"/>
    <w:rsid w:val="00EA16BA"/>
    <w:rsid w:val="00EA5158"/>
    <w:rsid w:val="00F3150A"/>
    <w:rsid w:val="00FD181F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5BD916"/>
  <w15:chartTrackingRefBased/>
  <w15:docId w15:val="{ACC51AC1-B42C-43F0-BDDF-64AAF46B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74C"/>
    <w:pPr>
      <w:autoSpaceDE w:val="0"/>
      <w:autoSpaceDN w:val="0"/>
      <w:spacing w:after="120" w:line="240" w:lineRule="auto"/>
    </w:pPr>
    <w:rPr>
      <w:rFonts w:ascii="Times New Roman" w:hAnsi="Times New Roman" w:cs=".PalatinoTTEE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pPr>
      <w:autoSpaceDE/>
      <w:autoSpaceDN/>
      <w:spacing w:after="0"/>
    </w:pPr>
    <w:rPr>
      <w:rFonts w:cstheme="minorBidi"/>
      <w:kern w:val="0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paragraph" w:styleId="Zhlav">
    <w:name w:val="header"/>
    <w:basedOn w:val="Normln"/>
    <w:link w:val="ZhlavChar"/>
    <w:rsid w:val="007C1E3A"/>
    <w:pPr>
      <w:tabs>
        <w:tab w:val="center" w:pos="4536"/>
        <w:tab w:val="right" w:pos="9072"/>
      </w:tabs>
      <w:autoSpaceDE/>
      <w:autoSpaceDN/>
      <w:spacing w:after="0"/>
    </w:pPr>
    <w:rPr>
      <w:rFonts w:eastAsia="Calibri" w:cs="Times New Roman"/>
      <w:kern w:val="0"/>
      <w:sz w:val="24"/>
      <w:szCs w:val="24"/>
      <w:lang w:val="x-none"/>
    </w:rPr>
  </w:style>
  <w:style w:type="character" w:customStyle="1" w:styleId="ZhlavChar">
    <w:name w:val="Záhlaví Char"/>
    <w:basedOn w:val="Standardnpsmoodstavce"/>
    <w:link w:val="Zhlav"/>
    <w:rsid w:val="007C1E3A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A86C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86C87"/>
    <w:rPr>
      <w:rFonts w:ascii="Times New Roman" w:hAnsi="Times New Roman" w:cs=".PalatinoTTEE"/>
      <w:kern w:val="28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2021 dodatek 1</dc:title>
  <dc:subject/>
  <dc:creator>RNDr. Alexander Černý</dc:creator>
  <cp:keywords/>
  <dc:description/>
  <cp:lastModifiedBy>Martin</cp:lastModifiedBy>
  <cp:revision>5</cp:revision>
  <dcterms:created xsi:type="dcterms:W3CDTF">2021-04-06T14:49:00Z</dcterms:created>
  <dcterms:modified xsi:type="dcterms:W3CDTF">2021-04-19T12:52:00Z</dcterms:modified>
</cp:coreProperties>
</file>