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DE3" w:rsidRPr="00236022" w:rsidRDefault="002D3D90" w:rsidP="00310DE3">
      <w:pPr>
        <w:pStyle w:val="Normlnweb"/>
        <w:rPr>
          <w:rFonts w:asciiTheme="minorHAnsi" w:hAnsiTheme="minorHAnsi"/>
          <w:b/>
          <w:color w:val="000000"/>
          <w:sz w:val="22"/>
          <w:szCs w:val="22"/>
          <w:u w:val="single"/>
        </w:rPr>
      </w:pPr>
      <w:r w:rsidRPr="00236022">
        <w:rPr>
          <w:rFonts w:asciiTheme="minorHAnsi" w:hAnsiTheme="minorHAnsi"/>
          <w:b/>
          <w:color w:val="000000"/>
          <w:sz w:val="22"/>
          <w:szCs w:val="22"/>
          <w:u w:val="single"/>
        </w:rPr>
        <w:t>Příloha č. 1</w:t>
      </w:r>
    </w:p>
    <w:p w:rsidR="009C5D86" w:rsidRPr="00236022" w:rsidRDefault="009C5D86" w:rsidP="00310DE3">
      <w:pPr>
        <w:pStyle w:val="Normlnweb"/>
        <w:rPr>
          <w:rFonts w:asciiTheme="minorHAnsi" w:hAnsiTheme="minorHAnsi"/>
          <w:b/>
          <w:color w:val="000000"/>
          <w:sz w:val="22"/>
          <w:szCs w:val="22"/>
          <w:u w:val="single"/>
        </w:rPr>
      </w:pPr>
    </w:p>
    <w:p w:rsidR="002D3D90" w:rsidRPr="00236022" w:rsidRDefault="002D3D90" w:rsidP="00310DE3">
      <w:pPr>
        <w:pStyle w:val="Normlnweb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B20D87" w:rsidRPr="00236022" w:rsidRDefault="00236022" w:rsidP="0020154B">
      <w:pPr>
        <w:autoSpaceDE w:val="0"/>
        <w:autoSpaceDN w:val="0"/>
        <w:rPr>
          <w:rFonts w:eastAsia="Times New Roman"/>
        </w:rPr>
      </w:pPr>
      <w:r>
        <w:rPr>
          <w:rFonts w:asciiTheme="minorHAnsi" w:hAnsiTheme="minorHAnsi"/>
          <w:color w:val="000000"/>
          <w:u w:val="single"/>
        </w:rPr>
        <w:t>Vypořádání p</w:t>
      </w:r>
      <w:r w:rsidR="002D3D90" w:rsidRPr="00236022">
        <w:rPr>
          <w:rFonts w:asciiTheme="minorHAnsi" w:hAnsiTheme="minorHAnsi"/>
          <w:color w:val="000000"/>
          <w:u w:val="single"/>
        </w:rPr>
        <w:t>řipomín</w:t>
      </w:r>
      <w:r>
        <w:rPr>
          <w:rFonts w:asciiTheme="minorHAnsi" w:hAnsiTheme="minorHAnsi"/>
          <w:color w:val="000000"/>
          <w:u w:val="single"/>
        </w:rPr>
        <w:t>e</w:t>
      </w:r>
      <w:r w:rsidR="002D3D90" w:rsidRPr="00236022">
        <w:rPr>
          <w:rFonts w:asciiTheme="minorHAnsi" w:hAnsiTheme="minorHAnsi"/>
          <w:color w:val="000000"/>
          <w:u w:val="single"/>
        </w:rPr>
        <w:t xml:space="preserve">k členů Vědecké rady </w:t>
      </w:r>
      <w:r w:rsidR="0020154B" w:rsidRPr="00236022">
        <w:rPr>
          <w:rFonts w:asciiTheme="minorHAnsi" w:hAnsiTheme="minorHAnsi"/>
          <w:color w:val="000000"/>
          <w:u w:val="single"/>
        </w:rPr>
        <w:t>UTB ve Zlíně</w:t>
      </w:r>
    </w:p>
    <w:p w:rsidR="00D448F3" w:rsidRPr="00236022" w:rsidRDefault="00D448F3" w:rsidP="009C56A9">
      <w:pPr>
        <w:pStyle w:val="Normlnweb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8D47B0" w:rsidRPr="00236022" w:rsidRDefault="008D47B0" w:rsidP="009C56A9">
      <w:pPr>
        <w:pStyle w:val="Normlnweb"/>
        <w:rPr>
          <w:rFonts w:asciiTheme="minorHAnsi" w:hAnsiTheme="minorHAnsi"/>
          <w:color w:val="000000"/>
          <w:sz w:val="22"/>
          <w:szCs w:val="22"/>
          <w:u w:val="single"/>
        </w:rPr>
      </w:pPr>
    </w:p>
    <w:p w:rsidR="00AE41F6" w:rsidRPr="00236022" w:rsidRDefault="00B20D87" w:rsidP="00AE41F6">
      <w:pPr>
        <w:pStyle w:val="Normlnweb"/>
        <w:numPr>
          <w:ilvl w:val="0"/>
          <w:numId w:val="5"/>
        </w:numPr>
        <w:rPr>
          <w:rFonts w:asciiTheme="minorHAnsi" w:hAnsiTheme="minorHAnsi"/>
          <w:color w:val="000000"/>
          <w:sz w:val="22"/>
          <w:szCs w:val="22"/>
        </w:rPr>
      </w:pPr>
      <w:r w:rsidRPr="00236022">
        <w:rPr>
          <w:rFonts w:asciiTheme="minorHAnsi" w:hAnsiTheme="minorHAnsi"/>
          <w:color w:val="000000"/>
          <w:sz w:val="22"/>
          <w:szCs w:val="22"/>
        </w:rPr>
        <w:t>doc</w:t>
      </w:r>
      <w:r w:rsidR="00AE41F6" w:rsidRPr="00236022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D448F3" w:rsidRPr="00236022">
        <w:rPr>
          <w:rFonts w:asciiTheme="minorHAnsi" w:hAnsiTheme="minorHAnsi"/>
          <w:color w:val="000000"/>
          <w:sz w:val="22"/>
          <w:szCs w:val="22"/>
        </w:rPr>
        <w:t>Ing</w:t>
      </w:r>
      <w:r w:rsidRPr="00236022">
        <w:rPr>
          <w:rFonts w:asciiTheme="minorHAnsi" w:hAnsiTheme="minorHAnsi"/>
          <w:color w:val="000000"/>
          <w:sz w:val="22"/>
          <w:szCs w:val="22"/>
        </w:rPr>
        <w:t>. Anežka Lengálová, Ph.D.</w:t>
      </w:r>
    </w:p>
    <w:p w:rsidR="00AE41F6" w:rsidRPr="00236022" w:rsidRDefault="00AE41F6" w:rsidP="00AE41F6">
      <w:pPr>
        <w:pStyle w:val="Normlnweb"/>
        <w:ind w:left="720"/>
        <w:rPr>
          <w:rFonts w:asciiTheme="minorHAnsi" w:hAnsiTheme="minorHAnsi"/>
          <w:b/>
          <w:color w:val="000000"/>
          <w:sz w:val="22"/>
          <w:szCs w:val="22"/>
        </w:rPr>
      </w:pPr>
    </w:p>
    <w:p w:rsidR="00D026D2" w:rsidRPr="00236022" w:rsidRDefault="00D026D2" w:rsidP="00DE1042">
      <w:pPr>
        <w:jc w:val="both"/>
        <w:rPr>
          <w:rFonts w:ascii="Times New Roman" w:eastAsia="Calibri" w:hAnsi="Times New Roman"/>
          <w:color w:val="1F497D" w:themeColor="text2"/>
          <w:sz w:val="24"/>
          <w:szCs w:val="24"/>
        </w:rPr>
      </w:pPr>
      <w:r w:rsidRPr="00236022">
        <w:rPr>
          <w:rFonts w:eastAsia="Calibri" w:cs="Calibri"/>
          <w:color w:val="1F497D" w:themeColor="text2"/>
        </w:rPr>
        <w:t xml:space="preserve">V žádném z dokumentů „Strategický záměr Univerzity Tomáš Bati ve Zlíně na období 21+“ a „Plán realizace Strategického záměru vzdělávací a tvůrčí činnosti Univerzity Tomáše Bati ve Zlíně na období </w:t>
      </w:r>
      <w:proofErr w:type="gramStart"/>
      <w:r w:rsidRPr="00236022">
        <w:rPr>
          <w:rFonts w:eastAsia="Calibri" w:cs="Calibri"/>
          <w:color w:val="1F497D" w:themeColor="text2"/>
        </w:rPr>
        <w:t>21+“  se</w:t>
      </w:r>
      <w:proofErr w:type="gramEnd"/>
      <w:r w:rsidRPr="00236022">
        <w:rPr>
          <w:rFonts w:eastAsia="Calibri" w:cs="Calibri"/>
          <w:color w:val="1F497D" w:themeColor="text2"/>
        </w:rPr>
        <w:t xml:space="preserve"> nevyskytuje zmínka o genderové rovnosti, faktoru, který je v současné době obvykle požadován při podávání projektů jak domácích, tak mezinárodních. Stále víc se ale objevuje </w:t>
      </w:r>
      <w:r w:rsidR="006E1CAA" w:rsidRPr="00236022">
        <w:rPr>
          <w:rFonts w:eastAsia="Calibri" w:cs="Calibri"/>
          <w:color w:val="1F497D" w:themeColor="text2"/>
        </w:rPr>
        <w:t>i</w:t>
      </w:r>
      <w:r w:rsidRPr="00236022">
        <w:rPr>
          <w:rFonts w:eastAsia="Calibri" w:cs="Calibri"/>
          <w:color w:val="1F497D" w:themeColor="text2"/>
        </w:rPr>
        <w:t xml:space="preserve"> v</w:t>
      </w:r>
      <w:r w:rsidR="006E1CAA" w:rsidRPr="00236022">
        <w:rPr>
          <w:rFonts w:eastAsia="Calibri" w:cs="Calibri"/>
          <w:color w:val="1F497D" w:themeColor="text2"/>
        </w:rPr>
        <w:t> </w:t>
      </w:r>
      <w:r w:rsidRPr="00236022">
        <w:rPr>
          <w:rFonts w:eastAsia="Calibri" w:cs="Calibri"/>
          <w:color w:val="1F497D" w:themeColor="text2"/>
        </w:rPr>
        <w:t>hodnocení institucí. Tento aspekt je v současné době řešen v rámci projektu IKAROS, ale měl by být výslovně začleněn už do Strategického záměru a plánu jeho realizace. Prostupuje všemi pilíři - vzdělávání, tvůrčí činnosti, internacionalizace, třetí role UTB a především lidské zdroje. Tento nedostatek se projevil výrazně až v této verzi dokumentů, kde jsou nově návrhy klíčových opatření obecněji formulované. Základní myšlenka, která by měla být nahlížena z rů</w:t>
      </w:r>
      <w:r w:rsidR="00236022">
        <w:rPr>
          <w:rFonts w:eastAsia="Calibri" w:cs="Calibri"/>
          <w:color w:val="1F497D" w:themeColor="text2"/>
        </w:rPr>
        <w:t>z</w:t>
      </w:r>
      <w:r w:rsidRPr="00236022">
        <w:rPr>
          <w:rFonts w:eastAsia="Calibri" w:cs="Calibri"/>
          <w:color w:val="1F497D" w:themeColor="text2"/>
        </w:rPr>
        <w:t>ných pohledů, je </w:t>
      </w:r>
      <w:r w:rsidRPr="00236022">
        <w:rPr>
          <w:rFonts w:eastAsia="Calibri" w:cs="Calibri"/>
          <w:color w:val="1F497D" w:themeColor="text2"/>
          <w:shd w:val="clear" w:color="auto" w:fill="FFFFFF"/>
        </w:rPr>
        <w:t>kulturní a institucionální změna pro genderovou rovnost. </w:t>
      </w:r>
      <w:r w:rsidRPr="00236022">
        <w:rPr>
          <w:rFonts w:eastAsia="Calibri" w:cs="Calibri"/>
          <w:color w:val="1F497D" w:themeColor="text2"/>
        </w:rPr>
        <w:t>Věřím, že toto doplnění poskytne ucelenější pohled na další vývoj na</w:t>
      </w:r>
      <w:r w:rsidR="006E1CAA" w:rsidRPr="00236022">
        <w:rPr>
          <w:rFonts w:eastAsia="Calibri" w:cs="Calibri"/>
          <w:color w:val="1F497D" w:themeColor="text2"/>
        </w:rPr>
        <w:t xml:space="preserve"> </w:t>
      </w:r>
      <w:r w:rsidRPr="00236022">
        <w:rPr>
          <w:rFonts w:eastAsia="Calibri" w:cs="Calibri"/>
          <w:color w:val="1F497D" w:themeColor="text2"/>
        </w:rPr>
        <w:t>UTB.</w:t>
      </w:r>
    </w:p>
    <w:p w:rsidR="003C77DA" w:rsidRPr="00236022" w:rsidRDefault="003C77DA" w:rsidP="003C77DA">
      <w:pPr>
        <w:pStyle w:val="Normlnweb"/>
        <w:ind w:left="1080"/>
        <w:rPr>
          <w:rFonts w:asciiTheme="minorHAnsi" w:hAnsiTheme="minorHAnsi"/>
          <w:b/>
          <w:color w:val="000000"/>
          <w:sz w:val="22"/>
          <w:szCs w:val="22"/>
        </w:rPr>
      </w:pPr>
    </w:p>
    <w:p w:rsidR="005C6475" w:rsidRPr="00236022" w:rsidRDefault="0075217C" w:rsidP="0075217C">
      <w:pPr>
        <w:pStyle w:val="Normlnweb"/>
        <w:jc w:val="both"/>
        <w:rPr>
          <w:rFonts w:eastAsia="Calibri"/>
          <w:b/>
        </w:rPr>
      </w:pPr>
      <w:r w:rsidRPr="00236022">
        <w:rPr>
          <w:b/>
        </w:rPr>
        <w:t xml:space="preserve">Připomínka </w:t>
      </w:r>
      <w:r w:rsidR="009137B4" w:rsidRPr="00236022">
        <w:rPr>
          <w:b/>
        </w:rPr>
        <w:t xml:space="preserve">byla </w:t>
      </w:r>
      <w:r w:rsidRPr="00236022">
        <w:rPr>
          <w:b/>
        </w:rPr>
        <w:t xml:space="preserve">zapracována do dokumentu </w:t>
      </w:r>
      <w:r w:rsidRPr="00236022">
        <w:rPr>
          <w:rFonts w:eastAsia="Calibri"/>
          <w:b/>
        </w:rPr>
        <w:t>Strategický záměr Univerzity To</w:t>
      </w:r>
      <w:r w:rsidR="009137B4" w:rsidRPr="00236022">
        <w:rPr>
          <w:rFonts w:eastAsia="Calibri"/>
          <w:b/>
        </w:rPr>
        <w:t>máš Bati ve Zlíně na období 21+, do návrhu klíčových opatření pro Pilíř E, klíčové opatření č.</w:t>
      </w:r>
      <w:r w:rsidR="00236022">
        <w:rPr>
          <w:rFonts w:eastAsia="Calibri"/>
          <w:b/>
        </w:rPr>
        <w:t xml:space="preserve"> </w:t>
      </w:r>
      <w:r w:rsidR="009137B4" w:rsidRPr="00236022">
        <w:rPr>
          <w:rFonts w:eastAsia="Calibri"/>
          <w:b/>
        </w:rPr>
        <w:t>1 Strategie rozvoje lidských zdrojů UTB ve Zlíně, str. 29.</w:t>
      </w:r>
    </w:p>
    <w:p w:rsidR="009137B4" w:rsidRPr="00236022" w:rsidRDefault="009137B4" w:rsidP="0075217C">
      <w:pPr>
        <w:pStyle w:val="Normlnweb"/>
        <w:jc w:val="both"/>
        <w:rPr>
          <w:rFonts w:eastAsia="Calibri"/>
          <w:b/>
        </w:rPr>
      </w:pPr>
    </w:p>
    <w:p w:rsidR="0075217C" w:rsidRPr="00236022" w:rsidRDefault="0075217C" w:rsidP="0075217C">
      <w:pPr>
        <w:pStyle w:val="Normlnweb"/>
        <w:rPr>
          <w:rFonts w:asciiTheme="minorHAnsi" w:hAnsiTheme="minorHAnsi"/>
          <w:color w:val="000000"/>
          <w:sz w:val="22"/>
          <w:szCs w:val="22"/>
        </w:rPr>
      </w:pPr>
    </w:p>
    <w:p w:rsidR="005C6475" w:rsidRPr="00236022" w:rsidRDefault="005C6475" w:rsidP="005C6475">
      <w:pPr>
        <w:pStyle w:val="Normlnweb"/>
        <w:numPr>
          <w:ilvl w:val="0"/>
          <w:numId w:val="5"/>
        </w:numPr>
        <w:rPr>
          <w:rFonts w:asciiTheme="minorHAnsi" w:hAnsiTheme="minorHAnsi"/>
          <w:color w:val="000000"/>
          <w:sz w:val="22"/>
          <w:szCs w:val="22"/>
        </w:rPr>
      </w:pPr>
      <w:r w:rsidRPr="00236022">
        <w:rPr>
          <w:rFonts w:asciiTheme="minorHAnsi" w:hAnsiTheme="minorHAnsi"/>
          <w:color w:val="000000"/>
          <w:sz w:val="22"/>
          <w:szCs w:val="22"/>
        </w:rPr>
        <w:t xml:space="preserve">Ing. Jiří </w:t>
      </w:r>
      <w:proofErr w:type="spellStart"/>
      <w:r w:rsidRPr="00236022">
        <w:rPr>
          <w:rFonts w:asciiTheme="minorHAnsi" w:hAnsiTheme="minorHAnsi"/>
          <w:color w:val="000000"/>
          <w:sz w:val="22"/>
          <w:szCs w:val="22"/>
        </w:rPr>
        <w:t>Rosenfeld</w:t>
      </w:r>
      <w:proofErr w:type="spellEnd"/>
      <w:r w:rsidRPr="00236022">
        <w:rPr>
          <w:rFonts w:asciiTheme="minorHAnsi" w:hAnsiTheme="minorHAnsi"/>
          <w:color w:val="000000"/>
          <w:sz w:val="22"/>
          <w:szCs w:val="22"/>
        </w:rPr>
        <w:t>, CSc.</w:t>
      </w:r>
    </w:p>
    <w:p w:rsidR="005C6475" w:rsidRPr="00236022" w:rsidRDefault="005C6475" w:rsidP="005C6475">
      <w:pPr>
        <w:pStyle w:val="Normlnweb"/>
        <w:rPr>
          <w:rFonts w:asciiTheme="minorHAnsi" w:hAnsiTheme="minorHAnsi"/>
          <w:color w:val="000000"/>
          <w:sz w:val="22"/>
          <w:szCs w:val="22"/>
        </w:rPr>
      </w:pPr>
    </w:p>
    <w:p w:rsidR="0075217C" w:rsidRPr="00236022" w:rsidRDefault="005C6475" w:rsidP="00DE1042">
      <w:pPr>
        <w:pStyle w:val="Normlnweb"/>
        <w:numPr>
          <w:ilvl w:val="0"/>
          <w:numId w:val="16"/>
        </w:numPr>
        <w:jc w:val="both"/>
        <w:rPr>
          <w:rFonts w:ascii="Calibri" w:eastAsia="Calibri" w:hAnsi="Calibri" w:cs="Calibri"/>
          <w:color w:val="1F497D" w:themeColor="text2"/>
          <w:sz w:val="22"/>
          <w:szCs w:val="22"/>
          <w:shd w:val="clear" w:color="auto" w:fill="FFFFFF"/>
        </w:rPr>
      </w:pPr>
      <w:r w:rsidRPr="00236022">
        <w:rPr>
          <w:rFonts w:ascii="Calibri" w:eastAsia="Calibri" w:hAnsi="Calibri" w:cs="Calibri"/>
          <w:color w:val="1F497D" w:themeColor="text2"/>
          <w:sz w:val="22"/>
          <w:szCs w:val="22"/>
          <w:shd w:val="clear" w:color="auto" w:fill="FFFFFF"/>
        </w:rPr>
        <w:t>V návaznosti na reálný vývoj ekonomické a společenské situace verifikovat Strategický záměr v pravidelných ročních intervalech.</w:t>
      </w:r>
      <w:r w:rsidR="0075217C" w:rsidRPr="00236022">
        <w:rPr>
          <w:rFonts w:ascii="Calibri" w:eastAsia="Calibri" w:hAnsi="Calibri" w:cs="Calibri"/>
          <w:color w:val="1F497D" w:themeColor="text2"/>
          <w:sz w:val="22"/>
          <w:szCs w:val="22"/>
          <w:shd w:val="clear" w:color="auto" w:fill="FFFFFF"/>
        </w:rPr>
        <w:t xml:space="preserve"> </w:t>
      </w:r>
    </w:p>
    <w:p w:rsidR="0075217C" w:rsidRPr="00236022" w:rsidRDefault="0075217C" w:rsidP="00DE1042">
      <w:pPr>
        <w:pStyle w:val="Normlnweb"/>
        <w:jc w:val="both"/>
        <w:rPr>
          <w:rFonts w:ascii="Calibri" w:eastAsia="Calibri" w:hAnsi="Calibri" w:cs="Calibri"/>
          <w:b/>
          <w:color w:val="FF0000"/>
          <w:sz w:val="22"/>
          <w:szCs w:val="22"/>
          <w:shd w:val="clear" w:color="auto" w:fill="FFFFFF"/>
        </w:rPr>
      </w:pPr>
    </w:p>
    <w:p w:rsidR="005C6475" w:rsidRPr="00236022" w:rsidRDefault="0075217C" w:rsidP="0022653F">
      <w:pPr>
        <w:pStyle w:val="Normlnweb"/>
        <w:jc w:val="both"/>
        <w:rPr>
          <w:rFonts w:eastAsia="Calibri"/>
          <w:b/>
        </w:rPr>
      </w:pPr>
      <w:r w:rsidRPr="00236022">
        <w:rPr>
          <w:rFonts w:eastAsia="Calibri"/>
          <w:b/>
          <w:shd w:val="clear" w:color="auto" w:fill="FFFFFF"/>
        </w:rPr>
        <w:t xml:space="preserve">Roční verifikace </w:t>
      </w:r>
      <w:r w:rsidRPr="00236022">
        <w:rPr>
          <w:rFonts w:eastAsia="Calibri"/>
          <w:b/>
        </w:rPr>
        <w:t>Strategického záměru Univerzity To</w:t>
      </w:r>
      <w:r w:rsidR="0022653F" w:rsidRPr="00236022">
        <w:rPr>
          <w:rFonts w:eastAsia="Calibri"/>
          <w:b/>
        </w:rPr>
        <w:t xml:space="preserve">máš Bati ve Zlíně na období 21+ </w:t>
      </w:r>
      <w:r w:rsidRPr="00236022">
        <w:rPr>
          <w:rFonts w:eastAsia="Calibri"/>
          <w:b/>
          <w:shd w:val="clear" w:color="auto" w:fill="FFFFFF"/>
        </w:rPr>
        <w:t>bude probíhat prostřednictvím pravidelného ročního hodnocení nastavených indikátorů</w:t>
      </w:r>
      <w:r w:rsidR="0022653F" w:rsidRPr="00236022">
        <w:rPr>
          <w:rFonts w:eastAsia="Calibri"/>
          <w:b/>
          <w:shd w:val="clear" w:color="auto" w:fill="FFFFFF"/>
        </w:rPr>
        <w:t>, a to jak ve Výročních zprává</w:t>
      </w:r>
      <w:r w:rsidR="00236022">
        <w:rPr>
          <w:rFonts w:eastAsia="Calibri"/>
          <w:b/>
          <w:shd w:val="clear" w:color="auto" w:fill="FFFFFF"/>
        </w:rPr>
        <w:t>c</w:t>
      </w:r>
      <w:r w:rsidR="0022653F" w:rsidRPr="00236022">
        <w:rPr>
          <w:rFonts w:eastAsia="Calibri"/>
          <w:b/>
          <w:shd w:val="clear" w:color="auto" w:fill="FFFFFF"/>
        </w:rPr>
        <w:t>h o činnosti  UTB v Zlíně za daný rok</w:t>
      </w:r>
      <w:r w:rsidR="00895485" w:rsidRPr="00236022">
        <w:rPr>
          <w:rFonts w:eastAsia="Calibri"/>
          <w:b/>
          <w:shd w:val="clear" w:color="auto" w:fill="FFFFFF"/>
        </w:rPr>
        <w:t xml:space="preserve"> (zejména v souvislosti s </w:t>
      </w:r>
      <w:r w:rsidR="0022653F" w:rsidRPr="00236022">
        <w:rPr>
          <w:rFonts w:eastAsia="Calibri"/>
          <w:b/>
          <w:shd w:val="clear" w:color="auto" w:fill="FFFFFF"/>
        </w:rPr>
        <w:t>hodnocení</w:t>
      </w:r>
      <w:r w:rsidR="00C50831" w:rsidRPr="00236022">
        <w:rPr>
          <w:rFonts w:eastAsia="Calibri"/>
          <w:b/>
          <w:shd w:val="clear" w:color="auto" w:fill="FFFFFF"/>
        </w:rPr>
        <w:t>m ročních P</w:t>
      </w:r>
      <w:r w:rsidR="00895485" w:rsidRPr="00236022">
        <w:rPr>
          <w:rFonts w:eastAsia="Calibri"/>
          <w:b/>
          <w:shd w:val="clear" w:color="auto" w:fill="FFFFFF"/>
        </w:rPr>
        <w:t>lánů realizac</w:t>
      </w:r>
      <w:r w:rsidR="00C50831" w:rsidRPr="00236022">
        <w:rPr>
          <w:rFonts w:eastAsia="Calibri"/>
          <w:b/>
          <w:shd w:val="clear" w:color="auto" w:fill="FFFFFF"/>
        </w:rPr>
        <w:t>e SZ UTB</w:t>
      </w:r>
      <w:r w:rsidR="0022653F" w:rsidRPr="00236022">
        <w:rPr>
          <w:rFonts w:eastAsia="Calibri"/>
          <w:b/>
          <w:shd w:val="clear" w:color="auto" w:fill="FFFFFF"/>
        </w:rPr>
        <w:t>), v </w:t>
      </w:r>
      <w:r w:rsidR="0022653F" w:rsidRPr="00236022">
        <w:rPr>
          <w:b/>
        </w:rPr>
        <w:t xml:space="preserve">Dodatcích zpráv o vnitřním hodnocení kvality vzdělávací, tvůrčí a s nimi souvisejících činností UTB ve Zlíně </w:t>
      </w:r>
      <w:r w:rsidR="00895485" w:rsidRPr="00236022">
        <w:rPr>
          <w:b/>
        </w:rPr>
        <w:t>n</w:t>
      </w:r>
      <w:r w:rsidR="0022653F" w:rsidRPr="00236022">
        <w:rPr>
          <w:b/>
        </w:rPr>
        <w:t>ebo v monitoringu dat pro hodnocení v rámci Metodiky 17+.</w:t>
      </w:r>
    </w:p>
    <w:p w:rsidR="0075217C" w:rsidRPr="00236022" w:rsidRDefault="0075217C" w:rsidP="0075217C">
      <w:pPr>
        <w:pStyle w:val="Normlnweb"/>
        <w:ind w:left="720"/>
        <w:jc w:val="both"/>
        <w:rPr>
          <w:rFonts w:eastAsia="Calibri"/>
          <w:color w:val="1F497D" w:themeColor="text2"/>
          <w:shd w:val="clear" w:color="auto" w:fill="FFFFFF"/>
        </w:rPr>
      </w:pPr>
    </w:p>
    <w:p w:rsidR="005C6475" w:rsidRPr="00236022" w:rsidRDefault="005C6475" w:rsidP="00DE1042">
      <w:pPr>
        <w:pStyle w:val="Normlnweb"/>
        <w:numPr>
          <w:ilvl w:val="0"/>
          <w:numId w:val="16"/>
        </w:numPr>
        <w:jc w:val="both"/>
        <w:rPr>
          <w:rFonts w:ascii="Calibri" w:eastAsia="Calibri" w:hAnsi="Calibri" w:cs="Calibri"/>
          <w:color w:val="1F497D" w:themeColor="text2"/>
          <w:sz w:val="22"/>
          <w:szCs w:val="22"/>
          <w:shd w:val="clear" w:color="auto" w:fill="FFFFFF"/>
        </w:rPr>
      </w:pPr>
      <w:r w:rsidRPr="00236022">
        <w:rPr>
          <w:rFonts w:ascii="Calibri" w:eastAsia="Calibri" w:hAnsi="Calibri" w:cs="Calibri"/>
          <w:color w:val="1F497D" w:themeColor="text2"/>
          <w:sz w:val="22"/>
          <w:szCs w:val="22"/>
          <w:shd w:val="clear" w:color="auto" w:fill="FFFFFF"/>
        </w:rPr>
        <w:t>V návaznosti na reálný vývoj ekonomické a společenské situace aktualizovat Plán realizace Strategického záměru v pravidelných ročních intervalech.</w:t>
      </w:r>
    </w:p>
    <w:p w:rsidR="0075217C" w:rsidRPr="00236022" w:rsidRDefault="0075217C" w:rsidP="00DE1042">
      <w:pPr>
        <w:pStyle w:val="Normlnweb"/>
        <w:ind w:left="720"/>
        <w:jc w:val="both"/>
        <w:rPr>
          <w:rFonts w:ascii="Calibri" w:eastAsia="Calibri" w:hAnsi="Calibri" w:cs="Calibri"/>
          <w:color w:val="1F497D" w:themeColor="text2"/>
          <w:sz w:val="22"/>
          <w:szCs w:val="22"/>
          <w:shd w:val="clear" w:color="auto" w:fill="FFFFFF"/>
        </w:rPr>
      </w:pPr>
    </w:p>
    <w:p w:rsidR="0075217C" w:rsidRPr="00236022" w:rsidRDefault="0075217C" w:rsidP="00895485">
      <w:pPr>
        <w:pStyle w:val="Normlnweb"/>
        <w:jc w:val="both"/>
        <w:rPr>
          <w:rFonts w:eastAsia="Calibri"/>
          <w:b/>
          <w:shd w:val="clear" w:color="auto" w:fill="FFFFFF"/>
        </w:rPr>
      </w:pPr>
      <w:r w:rsidRPr="00236022">
        <w:rPr>
          <w:rFonts w:eastAsia="Calibri"/>
          <w:b/>
          <w:shd w:val="clear" w:color="auto" w:fill="FFFFFF"/>
        </w:rPr>
        <w:t xml:space="preserve">Plány realizace </w:t>
      </w:r>
      <w:r w:rsidR="0022653F" w:rsidRPr="00236022">
        <w:rPr>
          <w:b/>
        </w:rPr>
        <w:t>Strategického záměru Univerzity Tomáše Bati ve Zlíně na období 21+ na daný rok se připravují vždy jako roční plány</w:t>
      </w:r>
      <w:r w:rsidR="00895485" w:rsidRPr="00236022">
        <w:rPr>
          <w:b/>
        </w:rPr>
        <w:t xml:space="preserve"> s následným vyhodnocením ve </w:t>
      </w:r>
      <w:r w:rsidR="00895485" w:rsidRPr="00236022">
        <w:rPr>
          <w:rFonts w:eastAsia="Calibri"/>
          <w:b/>
          <w:shd w:val="clear" w:color="auto" w:fill="FFFFFF"/>
        </w:rPr>
        <w:t>Výročních zprává</w:t>
      </w:r>
      <w:r w:rsidR="00236022">
        <w:rPr>
          <w:rFonts w:eastAsia="Calibri"/>
          <w:b/>
          <w:shd w:val="clear" w:color="auto" w:fill="FFFFFF"/>
        </w:rPr>
        <w:t>c</w:t>
      </w:r>
      <w:r w:rsidR="00895485" w:rsidRPr="00236022">
        <w:rPr>
          <w:rFonts w:eastAsia="Calibri"/>
          <w:b/>
          <w:shd w:val="clear" w:color="auto" w:fill="FFFFFF"/>
        </w:rPr>
        <w:t>h o činnosti  UTB v Zlíně za daný rok.</w:t>
      </w:r>
    </w:p>
    <w:p w:rsidR="0075217C" w:rsidRPr="00236022" w:rsidRDefault="0075217C" w:rsidP="00895485">
      <w:pPr>
        <w:pStyle w:val="Normlnweb"/>
        <w:jc w:val="both"/>
        <w:rPr>
          <w:rFonts w:ascii="Calibri" w:eastAsia="Calibri" w:hAnsi="Calibri" w:cs="Calibri"/>
          <w:sz w:val="22"/>
          <w:szCs w:val="22"/>
          <w:shd w:val="clear" w:color="auto" w:fill="FFFFFF"/>
        </w:rPr>
      </w:pPr>
    </w:p>
    <w:p w:rsidR="005C6475" w:rsidRPr="00236022" w:rsidRDefault="005C6475" w:rsidP="00DE1042">
      <w:pPr>
        <w:pStyle w:val="Normlnweb"/>
        <w:numPr>
          <w:ilvl w:val="0"/>
          <w:numId w:val="16"/>
        </w:numPr>
        <w:jc w:val="both"/>
        <w:rPr>
          <w:rFonts w:ascii="Calibri" w:eastAsia="Calibri" w:hAnsi="Calibri" w:cs="Calibri"/>
          <w:color w:val="1F497D" w:themeColor="text2"/>
          <w:sz w:val="22"/>
          <w:szCs w:val="22"/>
          <w:shd w:val="clear" w:color="auto" w:fill="FFFFFF"/>
        </w:rPr>
      </w:pPr>
      <w:r w:rsidRPr="00236022">
        <w:rPr>
          <w:rFonts w:ascii="Calibri" w:eastAsia="Calibri" w:hAnsi="Calibri" w:cs="Calibri"/>
          <w:color w:val="1F497D" w:themeColor="text2"/>
          <w:sz w:val="22"/>
          <w:szCs w:val="22"/>
          <w:shd w:val="clear" w:color="auto" w:fill="FFFFFF"/>
        </w:rPr>
        <w:t>V návaznosti na reálný vývoj ekonomické a společenské situace aktualizovat Plán investičních aktivit v pravidelných ročních intervalech.</w:t>
      </w:r>
    </w:p>
    <w:p w:rsidR="00E64A84" w:rsidRPr="00236022" w:rsidRDefault="00E64A84" w:rsidP="00DE1042">
      <w:pPr>
        <w:pStyle w:val="Normlnweb"/>
        <w:jc w:val="both"/>
        <w:rPr>
          <w:rFonts w:ascii="Calibri" w:eastAsia="Calibri" w:hAnsi="Calibri" w:cs="Calibri"/>
          <w:color w:val="1F497D" w:themeColor="text2"/>
          <w:sz w:val="22"/>
          <w:szCs w:val="22"/>
          <w:shd w:val="clear" w:color="auto" w:fill="FFFFFF"/>
        </w:rPr>
      </w:pPr>
    </w:p>
    <w:p w:rsidR="00C50831" w:rsidRPr="00236022" w:rsidRDefault="00C50831" w:rsidP="00C50831">
      <w:pPr>
        <w:jc w:val="both"/>
        <w:rPr>
          <w:rFonts w:ascii="Times New Roman" w:hAnsi="Times New Roman"/>
          <w:b/>
          <w:sz w:val="24"/>
          <w:szCs w:val="24"/>
        </w:rPr>
      </w:pPr>
      <w:r w:rsidRPr="00236022">
        <w:rPr>
          <w:rFonts w:ascii="Times New Roman" w:hAnsi="Times New Roman"/>
          <w:b/>
          <w:sz w:val="24"/>
          <w:szCs w:val="24"/>
        </w:rPr>
        <w:t xml:space="preserve">Plán investičních aktivit Univerzity Tomáše Bati ve Zlíně pro roky 2021 až 2030 bude pravidelně verifikován na základě sledování a hodnocení plnění ročních </w:t>
      </w:r>
      <w:r w:rsidRPr="00236022">
        <w:rPr>
          <w:rFonts w:ascii="Times New Roman" w:hAnsi="Times New Roman"/>
          <w:b/>
          <w:bCs/>
          <w:sz w:val="24"/>
          <w:szCs w:val="24"/>
        </w:rPr>
        <w:t>Plánů inve</w:t>
      </w:r>
      <w:r w:rsidR="00F70012" w:rsidRPr="00236022">
        <w:rPr>
          <w:rFonts w:ascii="Times New Roman" w:hAnsi="Times New Roman"/>
          <w:b/>
          <w:bCs/>
          <w:sz w:val="24"/>
          <w:szCs w:val="24"/>
        </w:rPr>
        <w:t>stičních aktivit UTB</w:t>
      </w:r>
      <w:r w:rsidRPr="00236022">
        <w:rPr>
          <w:rFonts w:ascii="Times New Roman" w:hAnsi="Times New Roman"/>
          <w:b/>
          <w:bCs/>
          <w:sz w:val="24"/>
          <w:szCs w:val="24"/>
        </w:rPr>
        <w:t xml:space="preserve">, které jsou součástí Plánů realizace SZ UTB </w:t>
      </w:r>
      <w:r w:rsidR="00F70012" w:rsidRPr="00236022">
        <w:rPr>
          <w:rFonts w:ascii="Times New Roman" w:hAnsi="Times New Roman"/>
          <w:b/>
          <w:bCs/>
          <w:sz w:val="24"/>
          <w:szCs w:val="24"/>
        </w:rPr>
        <w:t xml:space="preserve">na daný rok </w:t>
      </w:r>
      <w:r w:rsidRPr="00236022">
        <w:rPr>
          <w:rFonts w:ascii="Times New Roman" w:hAnsi="Times New Roman"/>
          <w:b/>
          <w:bCs/>
          <w:sz w:val="24"/>
          <w:szCs w:val="24"/>
        </w:rPr>
        <w:t>(nyní Příloha č.</w:t>
      </w:r>
      <w:r w:rsidR="00236022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36022">
        <w:rPr>
          <w:rFonts w:ascii="Times New Roman" w:hAnsi="Times New Roman"/>
          <w:b/>
          <w:bCs/>
          <w:sz w:val="24"/>
          <w:szCs w:val="24"/>
        </w:rPr>
        <w:t xml:space="preserve">1 </w:t>
      </w:r>
      <w:r w:rsidRPr="00236022">
        <w:rPr>
          <w:rFonts w:ascii="Times New Roman" w:eastAsia="Calibri" w:hAnsi="Times New Roman"/>
          <w:b/>
          <w:sz w:val="24"/>
          <w:szCs w:val="24"/>
          <w:shd w:val="clear" w:color="auto" w:fill="FFFFFF"/>
        </w:rPr>
        <w:t xml:space="preserve">Plánu realizace </w:t>
      </w:r>
      <w:r w:rsidRPr="00236022">
        <w:rPr>
          <w:rFonts w:ascii="Times New Roman" w:hAnsi="Times New Roman"/>
          <w:b/>
          <w:sz w:val="24"/>
          <w:szCs w:val="24"/>
        </w:rPr>
        <w:t>Strategického záměru Univerzity Tomáše Bati ve Zlíně na období 21+).</w:t>
      </w:r>
    </w:p>
    <w:p w:rsidR="00E64A84" w:rsidRPr="00236022" w:rsidRDefault="00E64A84" w:rsidP="00E64A84">
      <w:pPr>
        <w:pStyle w:val="Normlnweb"/>
        <w:rPr>
          <w:rFonts w:ascii="Calibri" w:eastAsia="Calibri" w:hAnsi="Calibri" w:cs="Calibri"/>
          <w:shd w:val="clear" w:color="auto" w:fill="FFFFFF"/>
        </w:rPr>
      </w:pPr>
    </w:p>
    <w:p w:rsidR="00E64A84" w:rsidRPr="00236022" w:rsidRDefault="00E64A84" w:rsidP="00E64A84">
      <w:pPr>
        <w:pStyle w:val="Normlnweb"/>
        <w:numPr>
          <w:ilvl w:val="0"/>
          <w:numId w:val="5"/>
        </w:numPr>
        <w:rPr>
          <w:rFonts w:asciiTheme="minorHAnsi" w:hAnsiTheme="minorHAnsi"/>
          <w:color w:val="000000"/>
          <w:sz w:val="22"/>
          <w:szCs w:val="22"/>
        </w:rPr>
      </w:pPr>
      <w:r w:rsidRPr="00236022">
        <w:rPr>
          <w:rFonts w:asciiTheme="minorHAnsi" w:hAnsiTheme="minorHAnsi"/>
          <w:color w:val="000000"/>
          <w:sz w:val="22"/>
          <w:szCs w:val="22"/>
        </w:rPr>
        <w:t>doc. Mgr. Milan Adámek, Ph.D.</w:t>
      </w:r>
    </w:p>
    <w:p w:rsidR="00E64A84" w:rsidRPr="00236022" w:rsidRDefault="00E64A84" w:rsidP="00E64A84">
      <w:pPr>
        <w:pStyle w:val="Normlnweb"/>
        <w:ind w:left="720"/>
        <w:rPr>
          <w:rFonts w:asciiTheme="minorHAnsi" w:hAnsiTheme="minorHAnsi"/>
          <w:color w:val="000000"/>
          <w:sz w:val="22"/>
          <w:szCs w:val="22"/>
        </w:rPr>
      </w:pPr>
    </w:p>
    <w:p w:rsidR="00E64A84" w:rsidRPr="00236022" w:rsidRDefault="00E64A84" w:rsidP="00DE1042">
      <w:pPr>
        <w:jc w:val="both"/>
        <w:rPr>
          <w:rFonts w:eastAsia="Calibri" w:cs="Calibri"/>
          <w:color w:val="1F497D" w:themeColor="text2"/>
        </w:rPr>
      </w:pPr>
      <w:r w:rsidRPr="00236022">
        <w:rPr>
          <w:rFonts w:eastAsia="Calibri" w:cs="Calibri"/>
          <w:color w:val="1F497D" w:themeColor="text2"/>
        </w:rPr>
        <w:t xml:space="preserve">U předloženého materiálu Plán investičních aktivit Univerzity Tomáše Bati ve Zlíně  pro roky 2021 až 2030 je na str. 2 v předložených tabulkách 2x plánována Rekonstrukce a modernizace objektu U7 (za 130 tis. Kč a následně za 80 tis. Kč). Jde o překlep či o na sebe navazující akce? </w:t>
      </w:r>
    </w:p>
    <w:p w:rsidR="00E64A84" w:rsidRPr="00236022" w:rsidRDefault="00E64A84" w:rsidP="00E64A84">
      <w:pPr>
        <w:pStyle w:val="Normlnweb"/>
        <w:rPr>
          <w:rFonts w:ascii="Calibri" w:eastAsia="Calibri" w:hAnsi="Calibri" w:cs="Calibri"/>
          <w:color w:val="1F497D" w:themeColor="text2"/>
          <w:sz w:val="22"/>
          <w:szCs w:val="22"/>
        </w:rPr>
      </w:pPr>
    </w:p>
    <w:p w:rsidR="00C50831" w:rsidRPr="00236022" w:rsidRDefault="0051662E" w:rsidP="0051662E">
      <w:pPr>
        <w:pStyle w:val="Normlnweb"/>
        <w:jc w:val="both"/>
        <w:rPr>
          <w:rFonts w:ascii="Calibri" w:eastAsia="Calibri" w:hAnsi="Calibri" w:cs="Calibri"/>
          <w:b/>
          <w:sz w:val="22"/>
          <w:szCs w:val="22"/>
        </w:rPr>
      </w:pPr>
      <w:r w:rsidRPr="00236022">
        <w:rPr>
          <w:b/>
        </w:rPr>
        <w:t xml:space="preserve">V předloženém materiálu byl v přehledu akcí na str. 2 překlep, který mohl vést k nesprávnému výkladu. Překlep </w:t>
      </w:r>
      <w:r w:rsidR="00236022">
        <w:rPr>
          <w:b/>
        </w:rPr>
        <w:t xml:space="preserve">je </w:t>
      </w:r>
      <w:r w:rsidRPr="00236022">
        <w:rPr>
          <w:b/>
        </w:rPr>
        <w:t>v materiálu opraven, vlastní investiční akce, na které přehled odk</w:t>
      </w:r>
      <w:r w:rsidR="001659B6" w:rsidRPr="00236022">
        <w:rPr>
          <w:b/>
        </w:rPr>
        <w:t>azoval, byly formulovány přesně (</w:t>
      </w:r>
      <w:r w:rsidR="001659B6" w:rsidRPr="00236022">
        <w:rPr>
          <w:rFonts w:cstheme="minorHAnsi"/>
          <w:b/>
        </w:rPr>
        <w:t>Rekonstrukce a modernizace objektu U7, 130 637 tis. Kč).</w:t>
      </w:r>
      <w:bookmarkStart w:id="0" w:name="_GoBack"/>
      <w:bookmarkEnd w:id="0"/>
    </w:p>
    <w:sectPr w:rsidR="00C50831" w:rsidRPr="00236022" w:rsidSect="00E82654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32A3"/>
    <w:multiLevelType w:val="multilevel"/>
    <w:tmpl w:val="C4B62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503D84"/>
    <w:multiLevelType w:val="multilevel"/>
    <w:tmpl w:val="47EA6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91E82"/>
    <w:multiLevelType w:val="hybridMultilevel"/>
    <w:tmpl w:val="CF54651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D37E218C">
      <w:numFmt w:val="bullet"/>
      <w:lvlText w:val="•"/>
      <w:lvlJc w:val="left"/>
      <w:pPr>
        <w:ind w:left="1632" w:hanging="552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16802"/>
    <w:multiLevelType w:val="hybridMultilevel"/>
    <w:tmpl w:val="DC0C650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87FFC"/>
    <w:multiLevelType w:val="hybridMultilevel"/>
    <w:tmpl w:val="87100C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56278A"/>
    <w:multiLevelType w:val="hybridMultilevel"/>
    <w:tmpl w:val="0E8EC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404125"/>
    <w:multiLevelType w:val="hybridMultilevel"/>
    <w:tmpl w:val="30F69A62"/>
    <w:lvl w:ilvl="0" w:tplc="01045A8C">
      <w:numFmt w:val="bullet"/>
      <w:lvlText w:val="•"/>
      <w:lvlJc w:val="left"/>
      <w:pPr>
        <w:ind w:left="1068" w:hanging="708"/>
      </w:pPr>
      <w:rPr>
        <w:rFonts w:ascii="Calibri" w:eastAsiaTheme="minorHAns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6B11C4"/>
    <w:multiLevelType w:val="hybridMultilevel"/>
    <w:tmpl w:val="2CCE569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06241"/>
    <w:multiLevelType w:val="multilevel"/>
    <w:tmpl w:val="52340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282778"/>
    <w:multiLevelType w:val="hybridMultilevel"/>
    <w:tmpl w:val="5384438E"/>
    <w:lvl w:ilvl="0" w:tplc="5C00CBC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8C61856"/>
    <w:multiLevelType w:val="multilevel"/>
    <w:tmpl w:val="AD4AA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04A5A4C"/>
    <w:multiLevelType w:val="multilevel"/>
    <w:tmpl w:val="C7407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0F22152"/>
    <w:multiLevelType w:val="hybridMultilevel"/>
    <w:tmpl w:val="E938AF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F66E8B"/>
    <w:multiLevelType w:val="hybridMultilevel"/>
    <w:tmpl w:val="3462FF98"/>
    <w:lvl w:ilvl="0" w:tplc="53B83E1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FB510D"/>
    <w:multiLevelType w:val="hybridMultilevel"/>
    <w:tmpl w:val="4C828B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8131C0"/>
    <w:multiLevelType w:val="hybridMultilevel"/>
    <w:tmpl w:val="C48A9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D84A1C"/>
    <w:multiLevelType w:val="hybridMultilevel"/>
    <w:tmpl w:val="9802E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12"/>
  </w:num>
  <w:num w:numId="6">
    <w:abstractNumId w:val="14"/>
  </w:num>
  <w:num w:numId="7">
    <w:abstractNumId w:val="6"/>
  </w:num>
  <w:num w:numId="8">
    <w:abstractNumId w:val="15"/>
  </w:num>
  <w:num w:numId="9">
    <w:abstractNumId w:val="10"/>
  </w:num>
  <w:num w:numId="10">
    <w:abstractNumId w:val="0"/>
  </w:num>
  <w:num w:numId="11">
    <w:abstractNumId w:val="7"/>
  </w:num>
  <w:num w:numId="12">
    <w:abstractNumId w:val="2"/>
  </w:num>
  <w:num w:numId="13">
    <w:abstractNumId w:val="11"/>
  </w:num>
  <w:num w:numId="14">
    <w:abstractNumId w:val="3"/>
  </w:num>
  <w:num w:numId="15">
    <w:abstractNumId w:val="9"/>
  </w:num>
  <w:num w:numId="16">
    <w:abstractNumId w:val="13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DE3"/>
    <w:rsid w:val="00104FED"/>
    <w:rsid w:val="001659B6"/>
    <w:rsid w:val="00185143"/>
    <w:rsid w:val="0020154B"/>
    <w:rsid w:val="0022653F"/>
    <w:rsid w:val="00236022"/>
    <w:rsid w:val="00297CE5"/>
    <w:rsid w:val="002D3D90"/>
    <w:rsid w:val="002E21DB"/>
    <w:rsid w:val="00310DE3"/>
    <w:rsid w:val="003C77DA"/>
    <w:rsid w:val="0051662E"/>
    <w:rsid w:val="005C6475"/>
    <w:rsid w:val="006055B3"/>
    <w:rsid w:val="00660F80"/>
    <w:rsid w:val="00696E40"/>
    <w:rsid w:val="006E1CAA"/>
    <w:rsid w:val="00741FD8"/>
    <w:rsid w:val="0075217C"/>
    <w:rsid w:val="007752B4"/>
    <w:rsid w:val="00781D57"/>
    <w:rsid w:val="007B6602"/>
    <w:rsid w:val="007D0883"/>
    <w:rsid w:val="00803B4E"/>
    <w:rsid w:val="00840490"/>
    <w:rsid w:val="008840FA"/>
    <w:rsid w:val="00895485"/>
    <w:rsid w:val="008C7627"/>
    <w:rsid w:val="008D47B0"/>
    <w:rsid w:val="009137B4"/>
    <w:rsid w:val="009C56A9"/>
    <w:rsid w:val="009C5D86"/>
    <w:rsid w:val="00AE41F6"/>
    <w:rsid w:val="00B20D87"/>
    <w:rsid w:val="00B33131"/>
    <w:rsid w:val="00B5188E"/>
    <w:rsid w:val="00C31447"/>
    <w:rsid w:val="00C50831"/>
    <w:rsid w:val="00C95C9A"/>
    <w:rsid w:val="00CB1E40"/>
    <w:rsid w:val="00CB2CB6"/>
    <w:rsid w:val="00D026D2"/>
    <w:rsid w:val="00D448F3"/>
    <w:rsid w:val="00D877E9"/>
    <w:rsid w:val="00D92775"/>
    <w:rsid w:val="00DE1042"/>
    <w:rsid w:val="00E64A84"/>
    <w:rsid w:val="00E82654"/>
    <w:rsid w:val="00ED1FC6"/>
    <w:rsid w:val="00F37BDB"/>
    <w:rsid w:val="00F70012"/>
    <w:rsid w:val="00F76E0C"/>
    <w:rsid w:val="00FE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E6C9C"/>
  <w15:docId w15:val="{327F83C8-4653-4892-9C14-800814D1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10DE3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9137B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310DE3"/>
    <w:rPr>
      <w:rFonts w:ascii="Times New Roman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C7627"/>
    <w:pPr>
      <w:ind w:left="720"/>
      <w:contextualSpacing/>
    </w:pPr>
  </w:style>
  <w:style w:type="table" w:customStyle="1" w:styleId="Tabulkasmkou4zvraznn21">
    <w:name w:val="Tabulka s mřížkou 4 – zvýraznění 21"/>
    <w:basedOn w:val="Normlntabulka"/>
    <w:uiPriority w:val="49"/>
    <w:rsid w:val="009C56A9"/>
    <w:pPr>
      <w:spacing w:after="0" w:line="240" w:lineRule="auto"/>
    </w:pPr>
    <w:rPr>
      <w:rFonts w:ascii="Trebuchet MS" w:eastAsia="Times New Roman" w:hAnsi="Trebuchet MS" w:cs="Times New Roman"/>
      <w:sz w:val="24"/>
      <w:szCs w:val="24"/>
      <w:lang w:eastAsia="cs-CZ"/>
    </w:rPr>
    <w:tblPr>
      <w:tblStyleRowBandSize w:val="1"/>
      <w:tblStyleColBandSize w:val="1"/>
      <w:tblInd w:w="0" w:type="nil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3C77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C77DA"/>
    <w:pPr>
      <w:spacing w:after="120"/>
      <w:ind w:firstLine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C77D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77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77DA"/>
    <w:rPr>
      <w:rFonts w:ascii="Segoe UI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137B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5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2903</Characters>
  <Application>Microsoft Office Word</Application>
  <DocSecurity>4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Tomáše Bati ve Zlíně</Company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Martina Ospalíková</dc:creator>
  <cp:lastModifiedBy>Petr Ticháček</cp:lastModifiedBy>
  <cp:revision>2</cp:revision>
  <cp:lastPrinted>2019-04-02T11:10:00Z</cp:lastPrinted>
  <dcterms:created xsi:type="dcterms:W3CDTF">2021-02-10T06:45:00Z</dcterms:created>
  <dcterms:modified xsi:type="dcterms:W3CDTF">2021-02-10T06:45:00Z</dcterms:modified>
</cp:coreProperties>
</file>