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4A35E" w14:textId="77777777" w:rsidR="00081159" w:rsidRDefault="00852E35" w:rsidP="00082B79">
      <w:pPr>
        <w:tabs>
          <w:tab w:val="left" w:pos="5954"/>
        </w:tabs>
        <w:spacing w:after="0" w:line="240" w:lineRule="auto"/>
      </w:pPr>
      <w:r>
        <w:tab/>
        <w:t>Vážený pan</w:t>
      </w:r>
    </w:p>
    <w:p w14:paraId="402C1DFF" w14:textId="51841AC1" w:rsidR="00852E35" w:rsidRDefault="00852E35" w:rsidP="00082B79">
      <w:pPr>
        <w:tabs>
          <w:tab w:val="left" w:pos="5954"/>
        </w:tabs>
        <w:spacing w:after="0" w:line="240" w:lineRule="auto"/>
      </w:pPr>
      <w:r>
        <w:tab/>
        <w:t xml:space="preserve">prof. Ing. </w:t>
      </w:r>
      <w:r w:rsidR="00082B79">
        <w:t>Vladimír Sedlařík</w:t>
      </w:r>
      <w:r>
        <w:t xml:space="preserve">, </w:t>
      </w:r>
      <w:r w:rsidR="00082B79">
        <w:t>Ph.D.</w:t>
      </w:r>
    </w:p>
    <w:p w14:paraId="77879919" w14:textId="77777777" w:rsidR="00852E35" w:rsidRDefault="00852E35" w:rsidP="00082B79">
      <w:pPr>
        <w:tabs>
          <w:tab w:val="left" w:pos="5954"/>
        </w:tabs>
        <w:spacing w:after="0" w:line="240" w:lineRule="auto"/>
      </w:pPr>
      <w:r>
        <w:tab/>
      </w:r>
      <w:r w:rsidR="0034283F">
        <w:t>r</w:t>
      </w:r>
      <w:r>
        <w:t xml:space="preserve">ektor </w:t>
      </w:r>
    </w:p>
    <w:p w14:paraId="28094FA4" w14:textId="77777777" w:rsidR="00852E35" w:rsidRDefault="00852E35" w:rsidP="00082B79">
      <w:pPr>
        <w:tabs>
          <w:tab w:val="left" w:pos="5954"/>
        </w:tabs>
        <w:spacing w:after="0" w:line="240" w:lineRule="auto"/>
      </w:pPr>
      <w:r>
        <w:tab/>
        <w:t>UTB ve Zlíně</w:t>
      </w:r>
    </w:p>
    <w:p w14:paraId="08410E4A" w14:textId="77777777" w:rsidR="00852E35" w:rsidRDefault="00852E35" w:rsidP="00082B79">
      <w:pPr>
        <w:tabs>
          <w:tab w:val="left" w:pos="5954"/>
        </w:tabs>
        <w:spacing w:line="240" w:lineRule="auto"/>
      </w:pPr>
    </w:p>
    <w:p w14:paraId="42CDD9D7" w14:textId="40E79F83" w:rsidR="00852E35" w:rsidRDefault="00852E35" w:rsidP="00082B79">
      <w:pPr>
        <w:tabs>
          <w:tab w:val="left" w:pos="5954"/>
        </w:tabs>
        <w:spacing w:line="240" w:lineRule="auto"/>
      </w:pPr>
      <w:r>
        <w:tab/>
        <w:t xml:space="preserve">Ve Zlíně </w:t>
      </w:r>
      <w:r w:rsidR="00DA7A32">
        <w:t>31</w:t>
      </w:r>
      <w:r>
        <w:t xml:space="preserve">. </w:t>
      </w:r>
      <w:r w:rsidR="00DA7A32">
        <w:t>srpna</w:t>
      </w:r>
      <w:r>
        <w:t xml:space="preserve"> 20</w:t>
      </w:r>
      <w:r w:rsidR="00082B79">
        <w:t>20</w:t>
      </w:r>
    </w:p>
    <w:p w14:paraId="6E2AE658" w14:textId="77777777" w:rsidR="002827E2" w:rsidRDefault="002827E2" w:rsidP="0055570B">
      <w:pPr>
        <w:spacing w:line="240" w:lineRule="auto"/>
      </w:pPr>
      <w:r>
        <w:t>Vážený pane rektore,</w:t>
      </w:r>
    </w:p>
    <w:p w14:paraId="3292ADDE" w14:textId="6143CFEE" w:rsidR="005858D8" w:rsidRPr="005858D8" w:rsidRDefault="00131805" w:rsidP="005858D8">
      <w:pPr>
        <w:spacing w:line="240" w:lineRule="auto"/>
        <w:jc w:val="both"/>
      </w:pPr>
      <w:r>
        <w:t>z</w:t>
      </w:r>
      <w:bookmarkStart w:id="0" w:name="_GoBack"/>
      <w:bookmarkEnd w:id="0"/>
      <w:r w:rsidR="005858D8">
        <w:t>asílám Vám vypořádání připomínek k akreditaci spis MSP Finance v české / anglické verzi a zároveň přikládám i k</w:t>
      </w:r>
      <w:r w:rsidR="005858D8" w:rsidRPr="005858D8">
        <w:t>omentář k personální rozdílnosti a skladby předmětů v české a anglické verzi studijního programu Finance</w:t>
      </w:r>
      <w:r w:rsidR="005858D8">
        <w:t>. Komentář k vypořádaným připomínkám je obsažen v samostatné příloze.</w:t>
      </w:r>
    </w:p>
    <w:p w14:paraId="64D2AC9B" w14:textId="77777777" w:rsidR="005858D8" w:rsidRPr="005858D8" w:rsidRDefault="005858D8" w:rsidP="005858D8">
      <w:pPr>
        <w:spacing w:line="240" w:lineRule="auto"/>
        <w:rPr>
          <w:b/>
        </w:rPr>
      </w:pPr>
      <w:r w:rsidRPr="005858D8">
        <w:rPr>
          <w:b/>
        </w:rPr>
        <w:t>Česká a anglická verze studijního programu Finance se liší v několika dimenzích:</w:t>
      </w:r>
    </w:p>
    <w:p w14:paraId="0134ACD9" w14:textId="1368CD91" w:rsidR="005858D8" w:rsidRDefault="00340399" w:rsidP="005858D8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>Z</w:t>
      </w:r>
      <w:r w:rsidR="005858D8">
        <w:t xml:space="preserve"> hlediska specializací – česká verze obsahuje 3 specializace (Finance podniku, Finanční kontrola, Finanční trhy a technologie), anglická verze obsahuje 2 specializace (Corporate Finance a Financial Markets and Technologies). Specializace Finanční kontrola není plánovaná v anglické verzi (určené zejména pro zahraniční studenty) vzhledem k zaměření této specializace, respektující obsahově v poměrně velké šíři ekonomické a legislativní podmínky České republiky. </w:t>
      </w:r>
    </w:p>
    <w:p w14:paraId="5CD7C1F1" w14:textId="57F058A5" w:rsidR="005858D8" w:rsidRDefault="00340399" w:rsidP="005858D8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>Vz</w:t>
      </w:r>
      <w:r w:rsidR="005858D8">
        <w:t xml:space="preserve">hledem k tomu, že anglická verze neobsahuje specializaci Finanční kontrola, jsou předměty Corporate Valuation a International Finance uvedeny v rámci předmětů společného základu navíc oproti české verzi programu. </w:t>
      </w:r>
    </w:p>
    <w:p w14:paraId="5C3834D5" w14:textId="77777777" w:rsidR="005858D8" w:rsidRDefault="005858D8" w:rsidP="005858D8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 xml:space="preserve">Předměty Financial Lab a Business Models jsou zařazeny jako specializační předměty (povinné „P“). </w:t>
      </w:r>
    </w:p>
    <w:p w14:paraId="734FC577" w14:textId="77777777" w:rsidR="005858D8" w:rsidRPr="005858D8" w:rsidRDefault="005858D8" w:rsidP="005858D8">
      <w:pPr>
        <w:pStyle w:val="Odstavecseseznamem"/>
        <w:numPr>
          <w:ilvl w:val="0"/>
          <w:numId w:val="7"/>
        </w:numPr>
        <w:spacing w:line="240" w:lineRule="auto"/>
        <w:jc w:val="both"/>
      </w:pPr>
      <w:r w:rsidRPr="005858D8">
        <w:t>Obsahově jsou předměty Basics of Law a Tax System and Financial Law zasazeny více do mezinárodního kontextu vzhledem k výuce zahraničních studentů.</w:t>
      </w:r>
    </w:p>
    <w:p w14:paraId="56574A42" w14:textId="77777777" w:rsidR="005858D8" w:rsidRDefault="005858D8" w:rsidP="005858D8">
      <w:pPr>
        <w:pStyle w:val="Odstavecseseznamem"/>
        <w:numPr>
          <w:ilvl w:val="0"/>
          <w:numId w:val="7"/>
        </w:numPr>
        <w:spacing w:line="240" w:lineRule="auto"/>
        <w:jc w:val="both"/>
      </w:pPr>
      <w:r w:rsidRPr="005858D8">
        <w:t>V anglické verzi není nabízen předmět Wirtschaftsdeutsch, tudíž studenti povinně studují předmět společného základu Business English.</w:t>
      </w:r>
    </w:p>
    <w:p w14:paraId="6DC8B2B2" w14:textId="03F90794" w:rsidR="005858D8" w:rsidRDefault="00340399" w:rsidP="005858D8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>U</w:t>
      </w:r>
      <w:r w:rsidR="005858D8">
        <w:t xml:space="preserve"> anglické verze programu není nabídka volitelných předmětů. Vzhledem k šíři nabídky předmětů, z kterých si mohou studenti v české verzi vybírat, není organizačně a ekonomicky možné tuto nabídku realizovat v anglickém jazyce. Kredity studenti získávají z povinných předmětů společného základu, povinných specializačních předmětů a povinně-volitelných předmětů. U povinně-volitelných předmětů nejsou v anglické verzi nabízené některé předměty jako např. Řízení organizací (realizace projektu Nadaní studenti) nebo Business akademie - vzhledem ke specifické organizaci těchto předmětů není možné je nabízet pro velmi omezený počet studentů i v jazyce anglickém.</w:t>
      </w:r>
    </w:p>
    <w:p w14:paraId="318C72B3" w14:textId="58407C85" w:rsidR="005858D8" w:rsidRDefault="00340399" w:rsidP="005858D8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>Z</w:t>
      </w:r>
      <w:r w:rsidR="005858D8">
        <w:t xml:space="preserve"> personálního hlediska se jedná o několik rozdílů, daných buď důvodem vytíženosti jednotlivých vyučujících, jazykovými předpoklady nebo širším mezinárodním kontextem (je respektováno zaměření vyučujících). Jedná se o garanci předmětů: Basics of Law, Banking and Insurance II, </w:t>
      </w:r>
      <w:r w:rsidR="005858D8" w:rsidRPr="005858D8">
        <w:t>Tax System and Financial Law</w:t>
      </w:r>
      <w:r>
        <w:t>.</w:t>
      </w:r>
    </w:p>
    <w:p w14:paraId="61FBCC08" w14:textId="77777777" w:rsidR="00AA5238" w:rsidRDefault="00AA5238" w:rsidP="0055570B">
      <w:pPr>
        <w:tabs>
          <w:tab w:val="center" w:pos="7088"/>
        </w:tabs>
        <w:spacing w:after="0" w:line="240" w:lineRule="auto"/>
        <w:jc w:val="both"/>
      </w:pPr>
      <w:r>
        <w:tab/>
        <w:t>doc. Ing. David Tuček, Ph.D.</w:t>
      </w:r>
    </w:p>
    <w:p w14:paraId="13CF2D8B" w14:textId="77777777" w:rsidR="00AA5238" w:rsidRDefault="00AA5238" w:rsidP="0055570B">
      <w:pPr>
        <w:tabs>
          <w:tab w:val="center" w:pos="7088"/>
        </w:tabs>
        <w:spacing w:after="0" w:line="240" w:lineRule="auto"/>
        <w:jc w:val="both"/>
      </w:pPr>
      <w:r>
        <w:tab/>
        <w:t>děkan FaME</w:t>
      </w:r>
    </w:p>
    <w:p w14:paraId="0E12F0C9" w14:textId="77777777" w:rsidR="00AA5238" w:rsidRDefault="00AA5238" w:rsidP="0055570B">
      <w:pPr>
        <w:tabs>
          <w:tab w:val="center" w:pos="7088"/>
        </w:tabs>
        <w:spacing w:after="0" w:line="240" w:lineRule="auto"/>
        <w:jc w:val="both"/>
      </w:pPr>
    </w:p>
    <w:p w14:paraId="07AC06D8" w14:textId="0546B637" w:rsidR="00AA5238" w:rsidRDefault="00AA5238" w:rsidP="0055570B">
      <w:pPr>
        <w:tabs>
          <w:tab w:val="center" w:pos="7088"/>
        </w:tabs>
        <w:spacing w:after="0" w:line="240" w:lineRule="auto"/>
        <w:jc w:val="both"/>
      </w:pPr>
    </w:p>
    <w:p w14:paraId="04C90A84" w14:textId="77777777" w:rsidR="005858D8" w:rsidRDefault="005858D8" w:rsidP="0055570B">
      <w:pPr>
        <w:tabs>
          <w:tab w:val="center" w:pos="7088"/>
        </w:tabs>
        <w:spacing w:after="0" w:line="240" w:lineRule="auto"/>
        <w:jc w:val="both"/>
      </w:pPr>
    </w:p>
    <w:p w14:paraId="6D8F4C4E" w14:textId="359002B8" w:rsidR="00AA5238" w:rsidRPr="005858D8" w:rsidRDefault="00AA5238" w:rsidP="0055570B">
      <w:pPr>
        <w:tabs>
          <w:tab w:val="center" w:pos="7088"/>
        </w:tabs>
        <w:spacing w:after="0" w:line="240" w:lineRule="auto"/>
        <w:jc w:val="both"/>
        <w:rPr>
          <w:sz w:val="20"/>
          <w:u w:val="single"/>
        </w:rPr>
      </w:pPr>
      <w:r w:rsidRPr="005858D8">
        <w:rPr>
          <w:sz w:val="20"/>
          <w:u w:val="single"/>
        </w:rPr>
        <w:t>Příloh</w:t>
      </w:r>
      <w:r w:rsidR="007F4E4A" w:rsidRPr="005858D8">
        <w:rPr>
          <w:sz w:val="20"/>
          <w:u w:val="single"/>
        </w:rPr>
        <w:t>y</w:t>
      </w:r>
      <w:r w:rsidRPr="005858D8">
        <w:rPr>
          <w:sz w:val="20"/>
          <w:u w:val="single"/>
        </w:rPr>
        <w:t>:</w:t>
      </w:r>
    </w:p>
    <w:p w14:paraId="51DD0246" w14:textId="4DF65CD3" w:rsidR="007F4E4A" w:rsidRPr="005858D8" w:rsidRDefault="005858D8" w:rsidP="007F4E4A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0"/>
        </w:rPr>
      </w:pPr>
      <w:r w:rsidRPr="005858D8">
        <w:rPr>
          <w:sz w:val="20"/>
        </w:rPr>
        <w:t>Vypořádání připomínek</w:t>
      </w:r>
    </w:p>
    <w:p w14:paraId="7F53E370" w14:textId="342D2313" w:rsidR="005858D8" w:rsidRPr="005858D8" w:rsidRDefault="005858D8" w:rsidP="007F4E4A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0"/>
        </w:rPr>
      </w:pPr>
      <w:r w:rsidRPr="005858D8">
        <w:rPr>
          <w:sz w:val="20"/>
        </w:rPr>
        <w:t>Akreditační spis MSP Finance v české / anglické verzi s vyznačenými změnami</w:t>
      </w:r>
    </w:p>
    <w:p w14:paraId="0399F3FD" w14:textId="28862C24" w:rsidR="005858D8" w:rsidRPr="005858D8" w:rsidRDefault="005858D8" w:rsidP="005858D8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0"/>
        </w:rPr>
      </w:pPr>
      <w:r w:rsidRPr="005858D8">
        <w:rPr>
          <w:sz w:val="20"/>
        </w:rPr>
        <w:t>Akreditační spis MSP Finance v české / anglické verzi beze změn</w:t>
      </w:r>
    </w:p>
    <w:p w14:paraId="4D69363B" w14:textId="1F708AD0" w:rsidR="007F4E4A" w:rsidRPr="005858D8" w:rsidRDefault="005858D8" w:rsidP="005F7652">
      <w:pPr>
        <w:pStyle w:val="Odstavecseseznamem"/>
        <w:numPr>
          <w:ilvl w:val="0"/>
          <w:numId w:val="5"/>
        </w:numPr>
        <w:spacing w:line="240" w:lineRule="auto"/>
        <w:jc w:val="both"/>
        <w:rPr>
          <w:sz w:val="20"/>
        </w:rPr>
      </w:pPr>
      <w:r w:rsidRPr="005858D8">
        <w:rPr>
          <w:sz w:val="20"/>
        </w:rPr>
        <w:t>Akreditační spis MSP Finance v české / anglické verzi v pdf verzi</w:t>
      </w:r>
    </w:p>
    <w:sectPr w:rsidR="007F4E4A" w:rsidRPr="0058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50498"/>
    <w:multiLevelType w:val="hybridMultilevel"/>
    <w:tmpl w:val="E4E6D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C4BF8"/>
    <w:multiLevelType w:val="hybridMultilevel"/>
    <w:tmpl w:val="07B293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F03A6"/>
    <w:multiLevelType w:val="hybridMultilevel"/>
    <w:tmpl w:val="6AEEA7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2688B"/>
    <w:multiLevelType w:val="hybridMultilevel"/>
    <w:tmpl w:val="3F808B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D84087"/>
    <w:multiLevelType w:val="hybridMultilevel"/>
    <w:tmpl w:val="3F808B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0602C"/>
    <w:multiLevelType w:val="hybridMultilevel"/>
    <w:tmpl w:val="D3EEDB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E342A"/>
    <w:multiLevelType w:val="hybridMultilevel"/>
    <w:tmpl w:val="CB227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7E2"/>
    <w:rsid w:val="0003028F"/>
    <w:rsid w:val="00064FB0"/>
    <w:rsid w:val="00070153"/>
    <w:rsid w:val="00081159"/>
    <w:rsid w:val="00082B79"/>
    <w:rsid w:val="000C763F"/>
    <w:rsid w:val="000E19EE"/>
    <w:rsid w:val="00124075"/>
    <w:rsid w:val="00131805"/>
    <w:rsid w:val="001B1CEF"/>
    <w:rsid w:val="00253EFD"/>
    <w:rsid w:val="002827E2"/>
    <w:rsid w:val="002B0463"/>
    <w:rsid w:val="00340399"/>
    <w:rsid w:val="0034283F"/>
    <w:rsid w:val="003649D8"/>
    <w:rsid w:val="004071F1"/>
    <w:rsid w:val="004A6A39"/>
    <w:rsid w:val="004E1DA6"/>
    <w:rsid w:val="004E2243"/>
    <w:rsid w:val="0055570B"/>
    <w:rsid w:val="00561651"/>
    <w:rsid w:val="005858D8"/>
    <w:rsid w:val="005E0418"/>
    <w:rsid w:val="005E3CD6"/>
    <w:rsid w:val="005F596D"/>
    <w:rsid w:val="00690202"/>
    <w:rsid w:val="00696C1C"/>
    <w:rsid w:val="00797587"/>
    <w:rsid w:val="007F4E4A"/>
    <w:rsid w:val="00852E35"/>
    <w:rsid w:val="008A18C7"/>
    <w:rsid w:val="009666FD"/>
    <w:rsid w:val="009763CA"/>
    <w:rsid w:val="00A668A0"/>
    <w:rsid w:val="00AA5238"/>
    <w:rsid w:val="00BE2E80"/>
    <w:rsid w:val="00C17405"/>
    <w:rsid w:val="00CB56DA"/>
    <w:rsid w:val="00CF28D9"/>
    <w:rsid w:val="00CF2FFB"/>
    <w:rsid w:val="00DA7A32"/>
    <w:rsid w:val="00DF4F07"/>
    <w:rsid w:val="00E279D0"/>
    <w:rsid w:val="00E527C2"/>
    <w:rsid w:val="00EA1698"/>
    <w:rsid w:val="00EB3D94"/>
    <w:rsid w:val="00F34169"/>
    <w:rsid w:val="00FA125E"/>
    <w:rsid w:val="00FA3881"/>
    <w:rsid w:val="00FD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31B0C"/>
  <w15:chartTrackingRefBased/>
  <w15:docId w15:val="{F364717D-973C-4E54-B41B-9C6457360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041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B3D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3D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3D9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3D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3D9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D94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585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6AAE1020B34F47B623458130915FE1" ma:contentTypeVersion="13" ma:contentTypeDescription="Vytvoří nový dokument" ma:contentTypeScope="" ma:versionID="4d04caf49a639acbf96f30d966540592">
  <xsd:schema xmlns:xsd="http://www.w3.org/2001/XMLSchema" xmlns:xs="http://www.w3.org/2001/XMLSchema" xmlns:p="http://schemas.microsoft.com/office/2006/metadata/properties" xmlns:ns3="91f26e49-f70c-446a-af9a-0186764ea1fa" xmlns:ns4="581cfee2-c630-4554-92b2-68787b9159cf" targetNamespace="http://schemas.microsoft.com/office/2006/metadata/properties" ma:root="true" ma:fieldsID="460083f19737fad70aa92622bea648df" ns3:_="" ns4:_="">
    <xsd:import namespace="91f26e49-f70c-446a-af9a-0186764ea1fa"/>
    <xsd:import namespace="581cfee2-c630-4554-92b2-68787b9159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26e49-f70c-446a-af9a-0186764ea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cfee2-c630-4554-92b2-68787b91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862E7E-F94E-4872-AC65-A69E7CCBD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26e49-f70c-446a-af9a-0186764ea1fa"/>
    <ds:schemaRef ds:uri="581cfee2-c630-4554-92b2-68787b91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3BFE6F-B7C9-401D-822A-341B81CE44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45216-C1EA-487B-9BB4-BF160577C0F1}">
  <ds:schemaRefs>
    <ds:schemaRef ds:uri="http://purl.org/dc/dcmitype/"/>
    <ds:schemaRef ds:uri="http://purl.org/dc/terms/"/>
    <ds:schemaRef ds:uri="http://schemas.microsoft.com/office/2006/documentManagement/types"/>
    <ds:schemaRef ds:uri="91f26e49-f70c-446a-af9a-0186764ea1fa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581cfee2-c630-4554-92b2-68787b9159c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Pilík Michal</dc:creator>
  <cp:keywords/>
  <dc:description/>
  <cp:lastModifiedBy>Michal Pilík</cp:lastModifiedBy>
  <cp:revision>2</cp:revision>
  <dcterms:created xsi:type="dcterms:W3CDTF">2020-08-31T08:59:00Z</dcterms:created>
  <dcterms:modified xsi:type="dcterms:W3CDTF">2020-08-31T12:28:00Z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0x010100186AAE1020B34F47B623458130915FE1</vt:lpwstr>
  </property>
</Properties>
</file>